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36C4B" w14:textId="77777777" w:rsidR="0015270C" w:rsidRDefault="0015270C" w:rsidP="0015270C">
      <w:pPr>
        <w:pStyle w:val="a3"/>
        <w:shd w:val="clear" w:color="auto" w:fill="FFFFFF"/>
        <w:spacing w:before="0" w:beforeAutospacing="0" w:after="0" w:afterAutospacing="0"/>
        <w:jc w:val="center"/>
        <w:rPr>
          <w:rFonts w:ascii="Times New Roman" w:hAnsi="Times New Roman" w:cs="Times New Roman"/>
          <w:b/>
          <w:bCs/>
          <w:color w:val="000000"/>
          <w:sz w:val="27"/>
          <w:szCs w:val="27"/>
        </w:rPr>
      </w:pPr>
      <w:r w:rsidRPr="0015270C">
        <w:rPr>
          <w:rFonts w:ascii="Times New Roman" w:hAnsi="Times New Roman" w:cs="Times New Roman"/>
          <w:b/>
          <w:bCs/>
          <w:color w:val="000000"/>
          <w:sz w:val="27"/>
          <w:szCs w:val="27"/>
        </w:rPr>
        <w:t xml:space="preserve">The mediating effect of depressive symptoms between dietary spicy food </w:t>
      </w:r>
      <w:r w:rsidRPr="0015270C">
        <w:rPr>
          <w:rFonts w:ascii="Times New Roman" w:hAnsi="Times New Roman" w:cs="Times New Roman" w:hint="eastAsia"/>
          <w:b/>
          <w:bCs/>
          <w:color w:val="000000"/>
          <w:sz w:val="27"/>
          <w:szCs w:val="27"/>
        </w:rPr>
        <w:t>preference</w:t>
      </w:r>
      <w:r w:rsidRPr="0015270C">
        <w:rPr>
          <w:rFonts w:ascii="Times New Roman" w:hAnsi="Times New Roman" w:cs="Times New Roman"/>
          <w:b/>
          <w:bCs/>
          <w:color w:val="000000"/>
          <w:sz w:val="27"/>
          <w:szCs w:val="27"/>
        </w:rPr>
        <w:t xml:space="preserve"> and cognitive function——evidence from China and UK Biobank</w:t>
      </w:r>
    </w:p>
    <w:p w14:paraId="372E2DDB" w14:textId="77777777" w:rsidR="0015270C" w:rsidRPr="0015270C" w:rsidRDefault="0015270C" w:rsidP="0015270C">
      <w:pPr>
        <w:pStyle w:val="a3"/>
        <w:shd w:val="clear" w:color="auto" w:fill="FFFFFF"/>
        <w:spacing w:before="0" w:beforeAutospacing="0" w:after="0" w:afterAutospacing="0"/>
        <w:jc w:val="center"/>
        <w:rPr>
          <w:rFonts w:ascii="Times New Roman" w:hAnsi="Times New Roman" w:cs="Times New Roman"/>
          <w:b/>
          <w:bCs/>
          <w:color w:val="000000"/>
          <w:sz w:val="27"/>
          <w:szCs w:val="27"/>
        </w:rPr>
      </w:pPr>
    </w:p>
    <w:p w14:paraId="5A764FB7" w14:textId="7E9B8F07" w:rsidR="0015270C" w:rsidRDefault="0015270C" w:rsidP="0015270C">
      <w:pPr>
        <w:spacing w:line="360" w:lineRule="auto"/>
        <w:rPr>
          <w:rFonts w:ascii="Times New Roman" w:eastAsia="TimesNewRomanPSMT" w:hAnsi="Times New Roman" w:cs="Times New Roman"/>
          <w:kern w:val="0"/>
          <w:sz w:val="20"/>
          <w:szCs w:val="20"/>
        </w:rPr>
      </w:pPr>
      <w:r w:rsidRPr="0015270C">
        <w:rPr>
          <w:rFonts w:ascii="Times New Roman" w:eastAsia="TimesNewRomanPSMT" w:hAnsi="Times New Roman" w:cs="Times New Roman"/>
          <w:kern w:val="0"/>
          <w:sz w:val="20"/>
          <w:szCs w:val="20"/>
        </w:rPr>
        <w:t>Jinyu Xiao</w:t>
      </w:r>
      <w:r w:rsidRPr="0015270C">
        <w:rPr>
          <w:rFonts w:ascii="Times New Roman" w:eastAsia="TimesNewRomanPSMT" w:hAnsi="Times New Roman" w:cs="Times New Roman"/>
          <w:kern w:val="0"/>
          <w:sz w:val="20"/>
          <w:szCs w:val="20"/>
          <w:vertAlign w:val="superscript"/>
        </w:rPr>
        <w:t>1</w:t>
      </w:r>
      <w:r w:rsidRPr="0015270C">
        <w:rPr>
          <w:rFonts w:ascii="Times New Roman" w:eastAsia="宋体" w:hAnsi="Times New Roman" w:cs="Times New Roman"/>
          <w:kern w:val="0"/>
          <w:sz w:val="20"/>
          <w:szCs w:val="20"/>
          <w:vertAlign w:val="superscript"/>
        </w:rPr>
        <w:t>†</w:t>
      </w:r>
      <w:r w:rsidRPr="0015270C">
        <w:rPr>
          <w:rFonts w:ascii="Times New Roman" w:eastAsia="宋体" w:hAnsi="Times New Roman" w:cs="Times New Roman"/>
          <w:kern w:val="0"/>
          <w:sz w:val="20"/>
          <w:szCs w:val="20"/>
        </w:rPr>
        <w:t xml:space="preserve">, </w:t>
      </w:r>
      <w:r w:rsidRPr="0015270C">
        <w:rPr>
          <w:rFonts w:ascii="Times New Roman" w:eastAsia="TimesNewRomanPSMT" w:hAnsi="Times New Roman" w:cs="Times New Roman"/>
          <w:kern w:val="0"/>
          <w:sz w:val="20"/>
          <w:szCs w:val="20"/>
        </w:rPr>
        <w:t>Yu Liang</w:t>
      </w:r>
      <w:r w:rsidRPr="0015270C">
        <w:rPr>
          <w:rFonts w:ascii="Times New Roman" w:eastAsia="TimesNewRomanPSMT" w:hAnsi="Times New Roman" w:cs="Times New Roman"/>
          <w:kern w:val="0"/>
          <w:sz w:val="20"/>
          <w:szCs w:val="20"/>
          <w:vertAlign w:val="superscript"/>
        </w:rPr>
        <w:t>1</w:t>
      </w:r>
      <w:r w:rsidRPr="0015270C">
        <w:rPr>
          <w:rFonts w:ascii="Times New Roman" w:eastAsia="宋体" w:hAnsi="Times New Roman" w:cs="Times New Roman"/>
          <w:kern w:val="0"/>
          <w:sz w:val="20"/>
          <w:szCs w:val="20"/>
          <w:vertAlign w:val="superscript"/>
        </w:rPr>
        <w:t>†</w:t>
      </w:r>
      <w:r w:rsidRPr="0015270C">
        <w:rPr>
          <w:rFonts w:ascii="Times New Roman" w:eastAsia="TimesNewRomanPSMT" w:hAnsi="Times New Roman" w:cs="Times New Roman"/>
          <w:kern w:val="0"/>
          <w:sz w:val="20"/>
          <w:szCs w:val="20"/>
        </w:rPr>
        <w:t xml:space="preserve">, </w:t>
      </w:r>
      <w:proofErr w:type="spellStart"/>
      <w:r w:rsidRPr="0015270C">
        <w:rPr>
          <w:rFonts w:ascii="Times New Roman" w:eastAsia="TimesNewRomanPSMT" w:hAnsi="Times New Roman" w:cs="Times New Roman"/>
          <w:kern w:val="0"/>
          <w:sz w:val="20"/>
          <w:szCs w:val="20"/>
        </w:rPr>
        <w:t>Jiaqiang</w:t>
      </w:r>
      <w:proofErr w:type="spellEnd"/>
      <w:r w:rsidRPr="0015270C">
        <w:rPr>
          <w:rFonts w:ascii="Times New Roman" w:eastAsia="TimesNewRomanPSMT" w:hAnsi="Times New Roman" w:cs="Times New Roman"/>
          <w:kern w:val="0"/>
          <w:sz w:val="20"/>
          <w:szCs w:val="20"/>
        </w:rPr>
        <w:t xml:space="preserve"> Liao, Xia Jiang</w:t>
      </w:r>
      <w:r w:rsidRPr="0015270C">
        <w:rPr>
          <w:rFonts w:ascii="Times New Roman" w:eastAsia="TimesNewRomanPSMT" w:hAnsi="Times New Roman" w:cs="Times New Roman"/>
          <w:kern w:val="0"/>
          <w:sz w:val="20"/>
          <w:szCs w:val="20"/>
          <w:vertAlign w:val="superscript"/>
        </w:rPr>
        <w:t>1,2</w:t>
      </w:r>
      <w:r w:rsidRPr="0015270C">
        <w:rPr>
          <w:rFonts w:ascii="Times New Roman" w:eastAsia="TimesNewRomanPSMT" w:hAnsi="Times New Roman" w:cs="Times New Roman"/>
          <w:kern w:val="0"/>
          <w:sz w:val="20"/>
          <w:szCs w:val="20"/>
        </w:rPr>
        <w:t>*, Jiayuan Li</w:t>
      </w:r>
      <w:r w:rsidRPr="0015270C">
        <w:rPr>
          <w:rFonts w:ascii="Times New Roman" w:eastAsia="TimesNewRomanPSMT" w:hAnsi="Times New Roman" w:cs="Times New Roman"/>
          <w:kern w:val="0"/>
          <w:sz w:val="20"/>
          <w:szCs w:val="20"/>
          <w:vertAlign w:val="superscript"/>
        </w:rPr>
        <w:t>1</w:t>
      </w:r>
      <w:r w:rsidRPr="0015270C">
        <w:rPr>
          <w:rFonts w:ascii="Times New Roman" w:eastAsia="TimesNewRomanPSMT" w:hAnsi="Times New Roman" w:cs="Times New Roman"/>
          <w:kern w:val="0"/>
          <w:sz w:val="20"/>
          <w:szCs w:val="20"/>
        </w:rPr>
        <w:t>*</w:t>
      </w:r>
    </w:p>
    <w:p w14:paraId="3B7EFD8B" w14:textId="77777777" w:rsidR="0015270C" w:rsidRPr="0015270C" w:rsidRDefault="0015270C" w:rsidP="0015270C">
      <w:pPr>
        <w:spacing w:line="360" w:lineRule="auto"/>
        <w:rPr>
          <w:rFonts w:ascii="Times New Roman" w:hAnsi="Times New Roman" w:cs="Times New Roman"/>
          <w:b/>
          <w:bCs/>
          <w:sz w:val="20"/>
          <w:szCs w:val="20"/>
        </w:rPr>
      </w:pPr>
    </w:p>
    <w:p w14:paraId="1868287B" w14:textId="78BBA258" w:rsidR="0015270C" w:rsidRPr="0015270C" w:rsidRDefault="0015270C" w:rsidP="0015270C">
      <w:pPr>
        <w:snapToGrid w:val="0"/>
        <w:spacing w:before="120" w:after="120" w:line="480" w:lineRule="auto"/>
        <w:rPr>
          <w:rFonts w:ascii="Times New Roman" w:eastAsia="等线" w:hAnsi="Times New Roman" w:cs="Times New Roman"/>
          <w:i/>
          <w:iCs/>
          <w:sz w:val="20"/>
          <w:szCs w:val="20"/>
          <w14:ligatures w14:val="none"/>
        </w:rPr>
      </w:pPr>
      <w:r w:rsidRPr="0015270C">
        <w:rPr>
          <w:rFonts w:ascii="Times New Roman" w:eastAsia="等线" w:hAnsi="Times New Roman" w:cs="Times New Roman"/>
          <w:i/>
          <w:iCs/>
          <w:sz w:val="20"/>
          <w:szCs w:val="20"/>
          <w14:ligatures w14:val="none"/>
        </w:rPr>
        <w:t>1Department of Epidemiology and Biostatistics, West China-PUMC C. C. Chen Institute of Health, West China School of Public Health and West China Fourth Hospital, Sichuan University, Chengdu, China.</w:t>
      </w:r>
    </w:p>
    <w:p w14:paraId="6889F2F9" w14:textId="1DEA6DD2" w:rsidR="0015270C" w:rsidRPr="0015270C" w:rsidRDefault="0015270C" w:rsidP="0015270C">
      <w:pPr>
        <w:snapToGrid w:val="0"/>
        <w:spacing w:before="120" w:after="120" w:line="480" w:lineRule="auto"/>
        <w:rPr>
          <w:rFonts w:ascii="Times New Roman" w:eastAsia="等线" w:hAnsi="Times New Roman" w:cs="Times New Roman"/>
          <w:i/>
          <w:iCs/>
          <w:sz w:val="20"/>
          <w:szCs w:val="20"/>
          <w14:ligatures w14:val="none"/>
        </w:rPr>
      </w:pPr>
      <w:r w:rsidRPr="0015270C">
        <w:rPr>
          <w:rFonts w:ascii="Times New Roman" w:eastAsia="等线" w:hAnsi="Times New Roman" w:cs="Times New Roman" w:hint="eastAsia"/>
          <w:i/>
          <w:iCs/>
          <w:sz w:val="20"/>
          <w:szCs w:val="20"/>
          <w14:ligatures w14:val="none"/>
        </w:rPr>
        <w:t>2</w:t>
      </w:r>
      <w:r w:rsidRPr="0015270C">
        <w:rPr>
          <w:rFonts w:ascii="Times New Roman" w:eastAsia="等线" w:hAnsi="Times New Roman" w:cs="Times New Roman"/>
          <w:i/>
          <w:iCs/>
          <w:sz w:val="20"/>
          <w:szCs w:val="20"/>
          <w14:ligatures w14:val="none"/>
        </w:rPr>
        <w:t xml:space="preserve"> Department of Nutrition and Food Hygiene, West China School of Public Health and West China Fourth Hospital, Sichuan University, Chengdu, Sichuan, China.</w:t>
      </w:r>
    </w:p>
    <w:p w14:paraId="07A5C018" w14:textId="77777777" w:rsidR="0015270C" w:rsidRPr="0015270C" w:rsidRDefault="0015270C" w:rsidP="0015270C">
      <w:pPr>
        <w:snapToGrid w:val="0"/>
        <w:spacing w:before="120" w:line="480" w:lineRule="auto"/>
        <w:rPr>
          <w:rFonts w:eastAsia="等线" w:cs="Times New Roman" w:hint="eastAsia"/>
          <w:i/>
          <w:iCs/>
          <w:sz w:val="20"/>
          <w:szCs w:val="20"/>
        </w:rPr>
      </w:pPr>
    </w:p>
    <w:p w14:paraId="1766309C" w14:textId="2C215F10" w:rsidR="0015270C" w:rsidRPr="0015270C" w:rsidRDefault="0015270C" w:rsidP="0015270C">
      <w:pPr>
        <w:snapToGrid w:val="0"/>
        <w:spacing w:line="480" w:lineRule="auto"/>
        <w:rPr>
          <w:rFonts w:ascii="Times New Roman" w:hAnsi="Times New Roman" w:cs="Times New Roman"/>
          <w:color w:val="000000" w:themeColor="text1"/>
          <w:sz w:val="20"/>
          <w:szCs w:val="20"/>
        </w:rPr>
      </w:pPr>
      <w:r w:rsidRPr="0015270C">
        <w:rPr>
          <w:rFonts w:ascii="Times New Roman" w:hAnsi="Times New Roman" w:cs="Times New Roman"/>
          <w:sz w:val="20"/>
          <w:szCs w:val="20"/>
          <w:vertAlign w:val="superscript"/>
        </w:rPr>
        <w:t xml:space="preserve">† </w:t>
      </w:r>
      <w:r w:rsidRPr="0015270C">
        <w:rPr>
          <w:rFonts w:ascii="Times New Roman" w:eastAsia="TimesNewRomanPSMT" w:hAnsi="Times New Roman" w:cs="Times New Roman"/>
          <w:kern w:val="0"/>
          <w:sz w:val="20"/>
          <w:szCs w:val="20"/>
        </w:rPr>
        <w:t>Jinyu Xiao</w:t>
      </w:r>
      <w:r w:rsidRPr="0015270C">
        <w:rPr>
          <w:rFonts w:ascii="Times New Roman" w:hAnsi="Times New Roman" w:cs="Times New Roman"/>
          <w:color w:val="000000" w:themeColor="text1"/>
          <w:sz w:val="20"/>
          <w:szCs w:val="20"/>
        </w:rPr>
        <w:t xml:space="preserve"> and </w:t>
      </w:r>
      <w:r w:rsidRPr="0015270C">
        <w:rPr>
          <w:rFonts w:ascii="Times New Roman" w:eastAsia="TimesNewRomanPSMT" w:hAnsi="Times New Roman" w:cs="Times New Roman"/>
          <w:kern w:val="0"/>
          <w:sz w:val="20"/>
          <w:szCs w:val="20"/>
        </w:rPr>
        <w:t xml:space="preserve">Yu Liang </w:t>
      </w:r>
      <w:r w:rsidRPr="0015270C">
        <w:rPr>
          <w:rFonts w:ascii="Times New Roman" w:hAnsi="Times New Roman" w:cs="Times New Roman"/>
          <w:color w:val="000000" w:themeColor="text1"/>
          <w:sz w:val="20"/>
          <w:szCs w:val="20"/>
        </w:rPr>
        <w:t>contributed equally to this work.</w:t>
      </w:r>
    </w:p>
    <w:p w14:paraId="46639C93" w14:textId="5349245D" w:rsidR="0015270C" w:rsidRPr="00C41FE8" w:rsidRDefault="0015270C" w:rsidP="0015270C">
      <w:pPr>
        <w:spacing w:line="360" w:lineRule="auto"/>
        <w:rPr>
          <w:rFonts w:ascii="Times New Roman" w:hAnsi="Times New Roman" w:cs="Times New Roman"/>
          <w:b/>
          <w:bCs/>
          <w:sz w:val="24"/>
          <w:szCs w:val="24"/>
        </w:rPr>
      </w:pPr>
      <w:r w:rsidRPr="0015270C">
        <w:rPr>
          <w:rFonts w:ascii="Times New Roman" w:eastAsia="TimesNewRomanPSMT" w:hAnsi="Times New Roman" w:cs="Times New Roman"/>
          <w:kern w:val="0"/>
          <w:sz w:val="20"/>
          <w:szCs w:val="20"/>
        </w:rPr>
        <w:t>*</w:t>
      </w:r>
      <w:r w:rsidRPr="0015270C">
        <w:rPr>
          <w:rFonts w:ascii="Times New Roman" w:eastAsia="TimesNewRomanPSMT" w:hAnsi="Times New Roman" w:cs="Times New Roman"/>
          <w:b/>
          <w:bCs/>
          <w:kern w:val="0"/>
          <w:sz w:val="20"/>
          <w:szCs w:val="20"/>
        </w:rPr>
        <w:t>Correspondence to</w:t>
      </w:r>
      <w:r w:rsidRPr="0015270C">
        <w:rPr>
          <w:rFonts w:ascii="Times New Roman" w:eastAsia="TimesNewRomanPSMT" w:hAnsi="Times New Roman" w:cs="Times New Roman"/>
          <w:kern w:val="0"/>
          <w:sz w:val="20"/>
          <w:szCs w:val="20"/>
        </w:rPr>
        <w:t xml:space="preserve">: West China School of Public Health and West China Fourth Hospital, Sichuan University, No. 16, Section 3, South Renmin Road, </w:t>
      </w:r>
      <w:proofErr w:type="spellStart"/>
      <w:r w:rsidRPr="0015270C">
        <w:rPr>
          <w:rFonts w:ascii="Times New Roman" w:eastAsia="TimesNewRomanPSMT" w:hAnsi="Times New Roman" w:cs="Times New Roman"/>
          <w:kern w:val="0"/>
          <w:sz w:val="20"/>
          <w:szCs w:val="20"/>
        </w:rPr>
        <w:t>Wuhou</w:t>
      </w:r>
      <w:proofErr w:type="spellEnd"/>
      <w:r w:rsidRPr="0015270C">
        <w:rPr>
          <w:rFonts w:ascii="Times New Roman" w:eastAsia="TimesNewRomanPSMT" w:hAnsi="Times New Roman" w:cs="Times New Roman"/>
          <w:kern w:val="0"/>
          <w:sz w:val="20"/>
          <w:szCs w:val="20"/>
        </w:rPr>
        <w:t xml:space="preserve"> District, Chengdu 610041, China. (</w:t>
      </w:r>
      <w:r w:rsidR="00C41FE8">
        <w:rPr>
          <w:rFonts w:ascii="Times New Roman" w:eastAsia="TimesNewRomanPSMT" w:hAnsi="Times New Roman" w:cs="Times New Roman" w:hint="eastAsia"/>
          <w:kern w:val="0"/>
          <w:sz w:val="20"/>
          <w:szCs w:val="20"/>
        </w:rPr>
        <w:t>Jiayuan Li</w:t>
      </w:r>
      <w:r w:rsidR="00C41FE8" w:rsidRPr="0015270C">
        <w:rPr>
          <w:rFonts w:ascii="Times New Roman" w:eastAsia="TimesNewRomanPSMT" w:hAnsi="Times New Roman" w:cs="Times New Roman"/>
          <w:kern w:val="0"/>
          <w:sz w:val="20"/>
          <w:szCs w:val="20"/>
        </w:rPr>
        <w:t xml:space="preserve">, MD, PhD, email: </w:t>
      </w:r>
      <w:r w:rsidR="00C41FE8" w:rsidRPr="00C41FE8">
        <w:rPr>
          <w:rStyle w:val="a5"/>
          <w:rFonts w:ascii="Times New Roman" w:eastAsia="TimesNewRomanPSMT" w:hAnsi="Times New Roman" w:cs="Times New Roman" w:hint="eastAsia"/>
          <w:kern w:val="0"/>
          <w:sz w:val="20"/>
          <w:szCs w:val="20"/>
        </w:rPr>
        <w:t>lijiayuan@scu.edu.cn</w:t>
      </w:r>
      <w:r w:rsidR="00C41FE8" w:rsidRPr="0015270C">
        <w:rPr>
          <w:rFonts w:ascii="Times New Roman" w:eastAsia="TimesNewRomanPSMT" w:hAnsi="Times New Roman" w:cs="Times New Roman"/>
          <w:kern w:val="0"/>
          <w:sz w:val="20"/>
          <w:szCs w:val="20"/>
        </w:rPr>
        <w:t xml:space="preserve"> </w:t>
      </w:r>
      <w:r w:rsidR="00C41FE8">
        <w:rPr>
          <w:rFonts w:ascii="Times New Roman" w:eastAsia="TimesNewRomanPSMT" w:hAnsi="Times New Roman" w:cs="Times New Roman" w:hint="eastAsia"/>
          <w:kern w:val="0"/>
          <w:sz w:val="20"/>
          <w:szCs w:val="20"/>
        </w:rPr>
        <w:t xml:space="preserve">or </w:t>
      </w:r>
      <w:r w:rsidRPr="0015270C">
        <w:rPr>
          <w:rFonts w:ascii="Times New Roman" w:eastAsia="TimesNewRomanPSMT" w:hAnsi="Times New Roman" w:cs="Times New Roman"/>
          <w:kern w:val="0"/>
          <w:sz w:val="20"/>
          <w:szCs w:val="20"/>
        </w:rPr>
        <w:t xml:space="preserve">Xia Jiang, MD, PhD, email: </w:t>
      </w:r>
      <w:hyperlink r:id="rId5" w:history="1">
        <w:r w:rsidRPr="0015270C">
          <w:rPr>
            <w:rStyle w:val="a5"/>
            <w:rFonts w:ascii="Times New Roman" w:eastAsia="TimesNewRomanPSMT" w:hAnsi="Times New Roman" w:cs="Times New Roman"/>
            <w:kern w:val="0"/>
            <w:sz w:val="20"/>
            <w:szCs w:val="20"/>
          </w:rPr>
          <w:t>xiajiang@scu.edu.cn</w:t>
        </w:r>
      </w:hyperlink>
      <w:r w:rsidRPr="0015270C">
        <w:rPr>
          <w:rStyle w:val="a5"/>
          <w:rFonts w:ascii="Times New Roman" w:eastAsia="TimesNewRomanPSMT" w:hAnsi="Times New Roman" w:cs="Times New Roman"/>
          <w:kern w:val="0"/>
          <w:sz w:val="20"/>
          <w:szCs w:val="20"/>
        </w:rPr>
        <w:t>; xia.jiang@ki.se</w:t>
      </w:r>
      <w:r w:rsidRPr="00C41FE8">
        <w:rPr>
          <w:rStyle w:val="a5"/>
          <w:rFonts w:ascii="Times New Roman" w:eastAsia="TimesNewRomanPSMT" w:hAnsi="Times New Roman" w:cs="Times New Roman"/>
          <w:color w:val="auto"/>
          <w:u w:val="none"/>
        </w:rPr>
        <w:t>)</w:t>
      </w:r>
    </w:p>
    <w:p w14:paraId="047A94E1" w14:textId="07DD187E" w:rsidR="0015270C" w:rsidRPr="0015270C" w:rsidRDefault="0015270C" w:rsidP="0015270C">
      <w:pPr>
        <w:spacing w:line="360" w:lineRule="auto"/>
        <w:rPr>
          <w:rFonts w:cs="Times New Roman" w:hint="eastAsia"/>
          <w:b/>
          <w:bCs/>
          <w:sz w:val="20"/>
          <w:szCs w:val="20"/>
        </w:rPr>
      </w:pPr>
    </w:p>
    <w:p w14:paraId="0BF75206" w14:textId="77777777" w:rsidR="0015270C" w:rsidRPr="0015270C" w:rsidRDefault="0015270C" w:rsidP="00101539">
      <w:pPr>
        <w:pStyle w:val="a3"/>
        <w:shd w:val="clear" w:color="auto" w:fill="FFFFFF"/>
        <w:spacing w:before="0" w:beforeAutospacing="0" w:after="0" w:afterAutospacing="0"/>
        <w:rPr>
          <w:rFonts w:ascii="Times New Roman" w:hAnsi="Times New Roman" w:cs="Times New Roman"/>
          <w:b/>
          <w:bCs/>
          <w:color w:val="000000"/>
          <w:sz w:val="27"/>
          <w:szCs w:val="27"/>
        </w:rPr>
      </w:pPr>
    </w:p>
    <w:p w14:paraId="5356A33D" w14:textId="79700B68" w:rsidR="00270F71" w:rsidRPr="00270F71" w:rsidRDefault="00270F71" w:rsidP="00270F71">
      <w:pPr>
        <w:spacing w:beforeLines="50" w:before="120" w:after="0" w:line="240" w:lineRule="auto"/>
        <w:rPr>
          <w:rFonts w:ascii="Times New Roman" w:hAnsi="Times New Roman"/>
          <w:sz w:val="24"/>
          <w:szCs w:val="28"/>
        </w:rPr>
      </w:pPr>
      <w:r w:rsidRPr="00270F71">
        <w:rPr>
          <w:rFonts w:ascii="Times New Roman" w:hAnsi="Times New Roman" w:hint="eastAsia"/>
          <w:b/>
          <w:bCs/>
          <w:sz w:val="24"/>
          <w:szCs w:val="28"/>
        </w:rPr>
        <w:t xml:space="preserve">Key words: </w:t>
      </w:r>
      <w:r w:rsidRPr="00270F71">
        <w:rPr>
          <w:rFonts w:ascii="Times New Roman" w:hAnsi="Times New Roman" w:hint="eastAsia"/>
          <w:sz w:val="24"/>
          <w:szCs w:val="28"/>
        </w:rPr>
        <w:t>cognitive function, depression, spicy food, mediation</w:t>
      </w:r>
    </w:p>
    <w:p w14:paraId="5CA47406" w14:textId="2A126EE5" w:rsidR="004044ED" w:rsidRPr="00270F71" w:rsidRDefault="00101539" w:rsidP="00270F71">
      <w:pPr>
        <w:spacing w:beforeLines="50" w:before="120" w:after="0" w:line="240" w:lineRule="auto"/>
        <w:rPr>
          <w:rFonts w:ascii="Times New Roman" w:hAnsi="Times New Roman"/>
          <w:b/>
          <w:bCs/>
          <w:sz w:val="24"/>
          <w:szCs w:val="28"/>
        </w:rPr>
      </w:pPr>
      <w:r w:rsidRPr="00270F71">
        <w:rPr>
          <w:rFonts w:ascii="Times New Roman" w:hAnsi="Times New Roman"/>
          <w:b/>
          <w:bCs/>
          <w:sz w:val="24"/>
          <w:szCs w:val="28"/>
        </w:rPr>
        <w:t>Objective</w:t>
      </w:r>
    </w:p>
    <w:p w14:paraId="618FEDAF" w14:textId="4BC5D5FE" w:rsidR="00E430F0" w:rsidRPr="00270F71" w:rsidRDefault="00E430F0" w:rsidP="00270F71">
      <w:pPr>
        <w:spacing w:beforeLines="50" w:before="120" w:after="0" w:line="240" w:lineRule="auto"/>
        <w:rPr>
          <w:rFonts w:ascii="Times New Roman" w:hAnsi="Times New Roman"/>
          <w:sz w:val="24"/>
          <w:szCs w:val="28"/>
        </w:rPr>
      </w:pPr>
      <w:r w:rsidRPr="00270F71">
        <w:rPr>
          <w:rFonts w:ascii="Times New Roman" w:hAnsi="Times New Roman"/>
          <w:sz w:val="24"/>
          <w:szCs w:val="28"/>
        </w:rPr>
        <w:t>Dementia, a progressive neurodegenerative disorder, has emerged as a critical global health challenge, with its prevalence rising dramatically due to an aging world population</w:t>
      </w:r>
      <w:r w:rsidR="00BD665B" w:rsidRPr="00270F71">
        <w:rPr>
          <w:rFonts w:ascii="Times New Roman" w:hAnsi="Times New Roman"/>
          <w:sz w:val="24"/>
          <w:szCs w:val="28"/>
        </w:rPr>
        <w:fldChar w:fldCharType="begin"/>
      </w:r>
      <w:r w:rsidR="00BB5AD6" w:rsidRPr="00270F71">
        <w:rPr>
          <w:rFonts w:ascii="Times New Roman" w:hAnsi="Times New Roman" w:hint="eastAsia"/>
          <w:sz w:val="24"/>
          <w:szCs w:val="28"/>
        </w:rPr>
        <w:instrText xml:space="preserve"> ADDIN ZOTERO_ITEM CSL_CITATION {"citationID":"CNn6HrXo","properties":{"formattedCitation":"\\super [1,2]\\nosupersub{}","plainCitation":"[1,2]","noteIndex":0},"citationItems":[{"id":"kuVermZp/pfAX6FH5","uris":["http://zotero.org/users/9805811/items/J2WB3IIJ"],"itemData":{"id":886,"type":"report","title":"Global status report on the public health response to dementia.Geneva: World Health Organization; 2021. Licence: CC BY-NC-SA 3.0 IGO."}},{"id":"kuVermZp/xgs57Q3J","uris":["http://zotero.org/users/9805811/items/ZBY3RYCE"],"itemData":{"id":887,"type":"report","title":"The top 10 causes of death [Internet]. World Health Organization. 2021 [cited 6 May 2024]. https://www.who.int/news-room/fact-sheets/detail/the-top-10-causes-of-death"}}],"schema":"https://github.com/citation-style-language/schema/raw/master/csl-citation.json"} </w:instrText>
      </w:r>
      <w:r w:rsidR="00BD665B" w:rsidRPr="00270F71">
        <w:rPr>
          <w:rFonts w:ascii="Times New Roman" w:hAnsi="Times New Roman"/>
          <w:sz w:val="24"/>
          <w:szCs w:val="28"/>
        </w:rPr>
        <w:fldChar w:fldCharType="separate"/>
      </w:r>
      <w:r w:rsidR="00BB5AD6" w:rsidRPr="00270F71">
        <w:rPr>
          <w:rFonts w:ascii="Times New Roman" w:hAnsi="Times New Roman"/>
          <w:sz w:val="24"/>
          <w:szCs w:val="28"/>
        </w:rPr>
        <w:t>[1,2]</w:t>
      </w:r>
      <w:r w:rsidR="00BD665B" w:rsidRPr="00270F71">
        <w:rPr>
          <w:rFonts w:ascii="Times New Roman" w:hAnsi="Times New Roman"/>
          <w:sz w:val="24"/>
          <w:szCs w:val="28"/>
        </w:rPr>
        <w:fldChar w:fldCharType="end"/>
      </w:r>
      <w:r w:rsidRPr="00270F71">
        <w:rPr>
          <w:rFonts w:ascii="Times New Roman" w:hAnsi="Times New Roman"/>
          <w:sz w:val="24"/>
          <w:szCs w:val="28"/>
        </w:rPr>
        <w:t>. This trend is further complicated by depression, a prevalent neuropsychiatric condition that often precedes or coexists with dementia, highlighting the complex interplay between mental health and cognitive decline</w:t>
      </w:r>
      <w:r w:rsidR="00BD665B" w:rsidRPr="00270F71">
        <w:rPr>
          <w:rFonts w:ascii="Times New Roman" w:hAnsi="Times New Roman"/>
          <w:sz w:val="24"/>
          <w:szCs w:val="28"/>
        </w:rPr>
        <w:fldChar w:fldCharType="begin"/>
      </w:r>
      <w:r w:rsidR="00BB5AD6" w:rsidRPr="00270F71">
        <w:rPr>
          <w:rFonts w:ascii="Times New Roman" w:hAnsi="Times New Roman" w:hint="eastAsia"/>
          <w:sz w:val="24"/>
          <w:szCs w:val="28"/>
        </w:rPr>
        <w:instrText xml:space="preserve"> ADDIN ZOTERO_ITEM CSL_CITATION {"citationID":"IyNLiDP9","properties":{"formattedCitation":"\\super [3\\uc0\\u8211{}6]\\nosupersub{}","plainCitation":"[3</w:instrText>
      </w:r>
      <w:r w:rsidR="00BB5AD6" w:rsidRPr="00270F71">
        <w:rPr>
          <w:rFonts w:ascii="Times New Roman" w:hAnsi="Times New Roman" w:hint="eastAsia"/>
          <w:sz w:val="24"/>
          <w:szCs w:val="28"/>
        </w:rPr>
        <w:instrText>–</w:instrText>
      </w:r>
      <w:r w:rsidR="00BB5AD6" w:rsidRPr="00270F71">
        <w:rPr>
          <w:rFonts w:ascii="Times New Roman" w:hAnsi="Times New Roman" w:hint="eastAsia"/>
          <w:sz w:val="24"/>
          <w:szCs w:val="28"/>
        </w:rPr>
        <w:instrText>6]","noteIndex":0},"citationItems":[{"id":"kuVermZp/ff1O2DJQ","uris":["http://zotero.org/users/9805811/items/VBHN7JCE"],"itemData":{"id":857,"type":"article-journal","abstract":"INTRODUCTION: Nonmotor symptoms, including depression, anxiety, apathy, and cognitive dysfunction, are common in Parkinson's disease (PD). Although a link between mood symptoms and cognitive impairment in PD has been theorized vis-</w:instrText>
      </w:r>
      <w:r w:rsidR="00BB5AD6" w:rsidRPr="00270F71">
        <w:rPr>
          <w:rFonts w:ascii="Times New Roman" w:hAnsi="Times New Roman" w:hint="eastAsia"/>
          <w:sz w:val="24"/>
          <w:szCs w:val="28"/>
        </w:rPr>
        <w:instrText>à</w:instrText>
      </w:r>
      <w:r w:rsidR="00BB5AD6" w:rsidRPr="00270F71">
        <w:rPr>
          <w:rFonts w:ascii="Times New Roman" w:hAnsi="Times New Roman" w:hint="eastAsia"/>
          <w:sz w:val="24"/>
          <w:szCs w:val="28"/>
        </w:rPr>
        <w:instrText xml:space="preserve">-vis striatal dopamine depletion, studies have been inconsistent regarding the relationship between mood symptoms and cognitive function. Inconsistencies may reflect the cross-sectional nature of previous studies. The current study examined the bidirectional longitudinal relationship between mood and cognition.\nMETHOD: Data were obtained from 310 individuals newly diagnosed with PD, who were followed up to 4 years (baseline, 1st, 2nd, 3rd, and 4th annual follow-ups). Apathy, anxiety, depressive symptoms, motor severity, and neurocognitive functioning were assessed at each annual assessment. The longitudinal relationship between apathy, anxiety, depressive symptoms, and cognition was analyzed with multilevel models.\nRESULTS: Over the 4-year period, more severe depressive symptoms were related to worse performance on tasks of processing speed, verbal learning, and verbal delayed recall. Additionally, there was a significant Depression </w:instrText>
      </w:r>
      <w:r w:rsidR="00BB5AD6" w:rsidRPr="00270F71">
        <w:rPr>
          <w:rFonts w:ascii="Times New Roman" w:hAnsi="Times New Roman" w:hint="eastAsia"/>
          <w:sz w:val="24"/>
          <w:szCs w:val="28"/>
        </w:rPr>
        <w:instrText>×</w:instrText>
      </w:r>
      <w:r w:rsidR="00BB5AD6" w:rsidRPr="00270F71">
        <w:rPr>
          <w:rFonts w:ascii="Times New Roman" w:hAnsi="Times New Roman" w:hint="eastAsia"/>
          <w:sz w:val="24"/>
          <w:szCs w:val="28"/>
        </w:rPr>
        <w:instrText xml:space="preserve"> Time interaction, suggesting that individuals with more severe depressive symptoms experience more rapid declines in global cognitive functioning and verbal learning. Apathy and anxiety were not significantly related to performance in any cognitive test. Lagged models revealed that changes in depression precede declines in working memory, verbal learning, delayed verbal recall, and global cognition.\nCONCLUSION: Findings suggest depressive symptoms may be a harbinger for future cognitive decline among individuals with PD. (PsycINFO Database Record (c) 2019 APA, all rights reserved).","call-number":"3","container-title":"Neuropsychology","DOI":"10.1037/neu0000583","ISSN":"1931-1559","issue":"8","journalAbbreviation":"Neuropsychology","language":"eng","note":"PMID: 31343240\nPMCID: PMC6823115","page":"1111-1120","source":"2.4","title":"Depressive symptoms precede cognitive impairment in de novo Parkinson's disease patients: Analysis of the PPMI cohort","title-short":"Depressive symptoms precede cognitive impairment in de novo Parkinson's disease patients","volume":"33","author":[{"family":"Jones","given":"Jacob D."},{"family":"Kurniadi","given":"Natalie E."},{"family":"Kuhn","given":"Taylor P."},{"family":"Szymkowicz","given":"Sarah M."},{"family":"Bunch","given":"Joseph"},{"family":"Rahmani","given":"Elizabeth"}],"issued":{"date-parts":[["2019",11]]}},"label":"page"},{"id":"kuVermZp/DMFhH0E7","uris":["http://zotero.org/users/9805811/items/DQ3WP4G6"],"itemData":{"id":870,"type":"article-journal","abstract":"Background This study aimed to verify the reciprocal relationship between social activity, depressive symptoms, and cognitive function in Korean elderly, utilizing data from the Korean Longitudinal Study of Aging (conducted by the Korea Employment Information Service biennially from 2006 to 2018). Methods The data of 5549 people aged 60 and over (mean age 70.27 years, standard deviation = 7.26) were used in the final analysis. Autoregressive cross-lagged analysis was used to examine bidirectional relationships between the variables over time. Frequency of participation in social activities, the Center for Epidemiologic Studies Depression Scale, and the Korean version of the Mini-Mental State Examination were used to measure social activity, depressive symptoms, and cognitive function. Results Results of the analysis were as follows. First, social activity was found to have a negative effect on depressive symptoms over time, but depressive symptoms did not affect social activity. Second, a bidirectional relationship between depressive symptoms and cognitive function was identified. In other words, more depressive symptoms were related to lower cognitive function, and cognitive function had a negative impact on depressive symptoms over time. Third, social activity was found to positively affect cognitive function, but cognitive function did not affect social activity over time. Conclusions The results of this study indicate that social activity is closely related to depressive symptoms and cognitive function in the elderly, and suggests that social activity can be a key preventive factor for depression and cognitive impairment in this population.","call-number":"4","container-title":"Psychogeriatrics","DOI":"10.1111/psyg.12674","ISSN":"1479-8301","issue":"3","language":"en","license":"© 2021 Japanese Psychogeriatric Society","note":"_eprint: https://onlinelibrary.wiley.com/doi/pdf/10.1111/psyg.12674","page":"350-358","source":"2","title":"Autoregressive cross-lagged modelling of the relationship between social activity, depressive symptoms, and cognitive function in Korean elderly","volume":"21","author":[{"family":"Bae","given":"Sung-Man"}],"issued":{"date-parts":[["2021"]]}},"label":"page"},{"id":"kuVermZp/ARQTBW4l","uris":["http://zotero.org/users/9805811/items/SUIUBPCA"],"itemData":{"id":916,"type":"article-journal","abstract":"BACKGROUND: Mild cognitive impairment (MCI) is an intermediate diagnosis between normal cognition (NC) and dementia, including Alzheimer's disease (AD) dementia. However, MCI is heterogeneous; many individuals subsequently revert to NC while others remain stable at MCI for several years. Identifying factors associated with this diagnostic instability could assist in defining clinical populations and determining cognitive prognoses.\nOBJECTIVE: The current study examined whether neuropsychiatric symptoms could partially account for the temporal instability in cognitive diagnoses.\nMETHOD: The sample included 6,763 participants from the National Alzheimer's Coordinating Center Uniform Data Set. All participants had NC at baseline, completed at least two follow-up visits (mean duration: 5.5 years), and had no recent neurological conditions. Generalized linear models estimated by generalized estimating equations examined associations between changes in cognitive diagnoses and symptoms on the Neuropsychiatric Inventory Questionnaire (NPI-Q) and Geriatric Depression Scale (GDS-15).\nRESULTS: 1,121 participants converted from NC to MCI; 324 reverted back to NC and 242 progressed to AD dementia. Higher symptoms on the GDS-15 and circumscribed symptom domains on the NPI-Q were associated with conversion from NC to MCI and a decreased likelihood of reversion from MCI to NC. Individuals with higher symptoms on NPI-Q Hyperactivity and Mood items were more likely to progress to AD dementia.\nDISCUSSION: The temporal instability of MCI can be partially explained by neuropsychiatric symptoms. Individuals with higher levels of specific symptoms are more likely to progress to AD dementia and less likely to revert to NC. Identification and treatment of these symptoms might support cognitive functioning in older adults.","container-title":"Journal of Alzheimer's disease: JAD","DOI":"10.3233/JAD-170527","ISSN":"1875-8908","issue":"4","journalAbbreviation":"J Alzheimers Dis","language":"eng","note":"PMID: 29614641\nPMCID: PMC6548196","page":"1841-1855","source":"PubMed","title":"Neuropsychiatric Symptoms and the Diagnostic Stability of Mild Cognitive Impairment","volume":"62","author":[{"family":"Sugarman","given":"Michael A."},{"family":"Alosco","given":"Michael L."},{"family":"Tripodis","given":"Yorghos"},{"family":"Steinberg","given":"Eric G."},{"family":"Stern","given":"Robert A."}],"issued":{"date-parts":[["2018"]]}},"label":"page"},{"id":"kuVermZp/80NA587u","uris":["http://zotero.org/users/9805811/items/9CYM2598"],"itemData":{"id":858,"type":"article-journal","abstract":"BACKGROUND: Little is known about the effect of persistent depressive symptoms on the trajectory of cognitive decline.AimsWe aimed to investigate the longitudinal association between the duration of depressive symptoms and subsequent cognitive decline over a 10-year follow-up period.\nMETHOD: The English Longitudinal Study of Ageing cohort is a prospective and nationally representative cohort of men and women living in England aged </w:instrText>
      </w:r>
      <w:r w:rsidR="00BB5AD6" w:rsidRPr="00270F71">
        <w:rPr>
          <w:rFonts w:ascii="Times New Roman" w:hAnsi="Times New Roman" w:hint="eastAsia"/>
          <w:sz w:val="24"/>
          <w:szCs w:val="28"/>
        </w:rPr>
        <w:instrText>≥</w:instrText>
      </w:r>
      <w:r w:rsidR="00BB5AD6" w:rsidRPr="00270F71">
        <w:rPr>
          <w:rFonts w:ascii="Times New Roman" w:hAnsi="Times New Roman" w:hint="eastAsia"/>
          <w:sz w:val="24"/>
          <w:szCs w:val="28"/>
        </w:rPr>
        <w:instrText xml:space="preserve">50 years. We examined 7610 participants with two assessments of depressive symptoms at wave 1 (2002-2003) and wave 2 (2004-2005), cognitive data at wave 2 and at least one reassessment of cognitive function (wave 3 to wave 7, 2006-2007 to 2014-2015).\nRESULTS: The mean age of the 7610 participants was 65.2 </w:instrText>
      </w:r>
      <w:r w:rsidR="00BB5AD6" w:rsidRPr="00270F71">
        <w:rPr>
          <w:rFonts w:ascii="Times New Roman" w:hAnsi="Times New Roman" w:hint="eastAsia"/>
          <w:sz w:val="24"/>
          <w:szCs w:val="28"/>
        </w:rPr>
        <w:instrText>±</w:instrText>
      </w:r>
      <w:r w:rsidR="00BB5AD6" w:rsidRPr="00270F71">
        <w:rPr>
          <w:rFonts w:ascii="Times New Roman" w:hAnsi="Times New Roman" w:hint="eastAsia"/>
          <w:sz w:val="24"/>
          <w:szCs w:val="28"/>
        </w:rPr>
        <w:instrText xml:space="preserve"> 10.1 years, and 57.0% were women. Of these, 1157 (15.2%) participants had episodic depressive symptoms and 525 participants (6.9%) had persistent depressive symptoms. Compared with participants without depressive symptoms at wave 1 and wave 2, the multivariable-adjusted rates of global cognitive decline associated with episodic depressive symptoms and persistent depressive symptoms were faster by -0.065 points/year (95% CI -0.129 to -0.000) and -0.141 points/year (95% CI -0.236 to -0.046), respectively (P for trend &lt; 0.001). Similarly, memory, executive and orientation function also declined faster with increasing duration of depressive symptoms (all P for trend &lt; 0.05).\nCONCLUSIONS: Our results demonstrated that depressive symptoms were significantly associated with subsequent cognitive decline over a 10-year follow-up period. Cumulative exposure of long-term depressive symptoms in elderly individuals could predict accelerated subsequent cognitive decline in a dose-response pattern.Declaration of interestNone.","container-title":"The British Journal of Psychiatry: The Journal of Mental Science","DOI":"10.1192/bjp.2018.155","ISSN":"1472-1465","issue":"5","journalAbbreviation":"Br J Psychiatry","language":"eng","note":"PMID: 30132434","page":"638-644","source":"PubMed","title":"Persistent depressive symptoms and cognitive decline in older adults","volume":"213","author":[{"family":"Zheng","given":"Fanfan"},{"family":"Zhong","given":"Baoliang"},{"family":"Song","given":"Xiaoyu"},{"family":"Xie","given":"Wuxiang"}],"issued":{"date-parts":[["2018",11]]}},"label":"page"}],"schema":"https://github.com/citation-style-language/schema/raw/master/csl-citation.json"} </w:instrText>
      </w:r>
      <w:r w:rsidR="00BD665B" w:rsidRPr="00270F71">
        <w:rPr>
          <w:rFonts w:ascii="Times New Roman" w:hAnsi="Times New Roman"/>
          <w:sz w:val="24"/>
          <w:szCs w:val="28"/>
        </w:rPr>
        <w:fldChar w:fldCharType="separate"/>
      </w:r>
      <w:r w:rsidR="00BB5AD6" w:rsidRPr="00270F71">
        <w:rPr>
          <w:rFonts w:ascii="Times New Roman" w:hAnsi="Times New Roman"/>
          <w:sz w:val="24"/>
          <w:szCs w:val="28"/>
        </w:rPr>
        <w:t>[3–6]</w:t>
      </w:r>
      <w:r w:rsidR="00BD665B" w:rsidRPr="00270F71">
        <w:rPr>
          <w:rFonts w:ascii="Times New Roman" w:hAnsi="Times New Roman"/>
          <w:sz w:val="24"/>
          <w:szCs w:val="28"/>
        </w:rPr>
        <w:fldChar w:fldCharType="end"/>
      </w:r>
      <w:r w:rsidRPr="00270F71">
        <w:rPr>
          <w:rFonts w:ascii="Times New Roman" w:hAnsi="Times New Roman"/>
          <w:sz w:val="24"/>
          <w:szCs w:val="28"/>
        </w:rPr>
        <w:t>. The intricate relationship between these disorders underscores the pressing need for effective preventive strategies.</w:t>
      </w:r>
    </w:p>
    <w:p w14:paraId="699E46C9" w14:textId="7862AC5D" w:rsidR="00E430F0" w:rsidRPr="00270F71" w:rsidRDefault="004044ED" w:rsidP="00270F71">
      <w:pPr>
        <w:spacing w:beforeLines="50" w:before="120" w:after="0" w:line="240" w:lineRule="auto"/>
        <w:rPr>
          <w:rFonts w:ascii="Times New Roman" w:hAnsi="Times New Roman"/>
          <w:sz w:val="24"/>
          <w:szCs w:val="28"/>
        </w:rPr>
      </w:pPr>
      <w:r w:rsidRPr="00270F71">
        <w:rPr>
          <w:rFonts w:ascii="Times New Roman" w:hAnsi="Times New Roman"/>
          <w:sz w:val="24"/>
          <w:szCs w:val="28"/>
        </w:rPr>
        <w:t>Diet, a modifiable lifestyle factor, has garnered substantial attention for its potential to influence mental health</w:t>
      </w:r>
      <w:r w:rsidR="00BD665B" w:rsidRPr="00270F71">
        <w:rPr>
          <w:rFonts w:ascii="Times New Roman" w:hAnsi="Times New Roman"/>
          <w:sz w:val="24"/>
          <w:szCs w:val="28"/>
        </w:rPr>
        <w:fldChar w:fldCharType="begin"/>
      </w:r>
      <w:r w:rsidR="00BB5AD6" w:rsidRPr="00270F71">
        <w:rPr>
          <w:rFonts w:ascii="Times New Roman" w:hAnsi="Times New Roman" w:hint="eastAsia"/>
          <w:sz w:val="24"/>
          <w:szCs w:val="28"/>
        </w:rPr>
        <w:instrText xml:space="preserve"> ADDIN ZOTERO_ITEM CSL_CITATION {"citationID":"Vy1px4gC","properties":{"formattedCitation":"\\super [7\\uc0\\u8211{}9]\\nosupersub{}","plainCitation":"[7</w:instrText>
      </w:r>
      <w:r w:rsidR="00BB5AD6" w:rsidRPr="00270F71">
        <w:rPr>
          <w:rFonts w:ascii="Times New Roman" w:hAnsi="Times New Roman" w:hint="eastAsia"/>
          <w:sz w:val="24"/>
          <w:szCs w:val="28"/>
        </w:rPr>
        <w:instrText>–</w:instrText>
      </w:r>
      <w:r w:rsidR="00BB5AD6" w:rsidRPr="00270F71">
        <w:rPr>
          <w:rFonts w:ascii="Times New Roman" w:hAnsi="Times New Roman" w:hint="eastAsia"/>
          <w:sz w:val="24"/>
          <w:szCs w:val="28"/>
        </w:rPr>
        <w:instrText>9]","noteIndex":0},"citationItems":[{"id":3716,"uris":["http://zotero.org/users/9760063/items/E49UX5HT"],"itemData":{"id":3716,"type":"article-journal","abstract":"The traditional Mediterranean diet (MedDiet), rich in minimally processed plant foods and fish, has been widely recognized to be one of the healthiest diets. Data from multiple randomized clinical trials have demonstrated its powerful effect against oxidative stress, inflammation and the development and progression of cardiovascular disease, type 2 diabetes, and other metabolic conditions that play a crucial role in the pathogenesis of neurodegenerative diseases. The protecting effects of the MedDiet against cognitive decline have been investigated in several observational and experimental studies. Data from observational studies suggest that the MedDiet may represent an effective dietary strategy for the early prevention of dementia, although these findings require further substantiation in clinical trials which have so far produced inconclusive results. Moreover, as we discuss in this review, accumulating data emphasizes the importance of: 1) maintaining an optimal nutritional and metabolic status for the promotion of healthy cognitive aging, and 2) implementing cognition-sparing dietary and lifestyle interventions during early time-sensitive windows before the pathological cascades turn into an irreversible state. In summary, components of the MedDiet pattern, such as essential fatty acids, polyphenols and vitamins, have been associated with reduced oxidative stress and the current evidence from observational studies seems to assign to the MedDiet a beneficial role in promoting brain health; however, results from clinical trials have been inconsistent. While we advocate for longitudinal analyses and for larger and longer clinical trials to be conducted, we assert our interim support to the use of the MedDiet as a protective dietary intervention for cognitive function based on its proven cardiovascular and metabolic benefits.","container-title":"Free Radical Biology &amp; Medicine","DOI":"10.1016/j.freeradbiomed.2021.09.018","ISSN":"1873-4596","journalAbbreviation":"Free Radic Biol Med","language":"eng","note":"PMID: 34562607","page":"105-117","source":"PubMed","title":"Mediterranean diet and cognitive function: From methodology to mechanisms of action","title-short":"Mediterranean diet and cognitive function","volume":"176","author":[{"family":"Siervo","given":"Mario"},{"family":"Shannon","given":"Oliver M."},{"family":"Llewellyn","given":"David J."},{"family":"Stephan","given":"Blossom Cm"},{"family":"Fontana","given":"Luigi"}],"issued":{"date-parts":[["2021",11,20]]}},"label":"page"},{"id":3717,"uris":["http://zotero.org/users/9760063/items/MVUS5RTK"],"itemData":{"id":3717,"type":"article-journal","abstract":"OBJECTIVES: The present study investigated the association between adherence to Mediterranean diet (MeDi) and physical performance and cognitive function in older adults.\nMETHODS: We conducted a systematic review and meta-analysis of cross-sectional and longitudinal studies that investigated older adults aged 60+ years and assessed adherence to MeDi diet using validated composite scores. Observational studies, including cross-sectional, case-control, and longitudinal cohort studies, if crude baseline data was available, which investigated as a primary or secondary outcome the association of MeDi diet adherence with physical performance and/or cognitive function in non-demented older adults were included in the cross-sectional analysis. For the longitudinal analysis, case-control and longitudinal cohort studies that investigated the longitudinal associations between adherence to MeDi diet with the incidence of mild cognitive impairment (MCI), dementia, and/or Alzheimer's disease (AD), and/or changes in physical performance and cognition in non-demented older adults were included. Studies published in other languages than English were excluded. Studies were retrieved from MEDLINE, SCOPUS, CINAHL, and AgeLine databases until May 19, 2021. The risk of bias was evaluated using the Newcastle - Ottawa Quality Assessment Scale (NOS). A pooled effect size was calculated based on standard mean differences (SMD), log odds ratio (OR) and log risk ratio (RR). This study is registered on PROSPERO (CRD42021250254).\nRESULTS: Nineteen cross-sectional studies that investigated 19.734 community-dwelling and institutionalized older adults free of disability and dementia were included. A high adherence to MeDi was cross-sectionally associated with better walking speed (SMD = 0.42; 95 % Confidence Interval (CI) = 0.12-0.72, P = 0.006; I</w:instrText>
      </w:r>
      <w:r w:rsidR="00BB5AD6" w:rsidRPr="00270F71">
        <w:rPr>
          <w:rFonts w:ascii="Times New Roman" w:hAnsi="Times New Roman" w:hint="eastAsia"/>
          <w:sz w:val="24"/>
          <w:szCs w:val="28"/>
        </w:rPr>
        <w:instrText>²</w:instrText>
      </w:r>
      <w:r w:rsidR="00BB5AD6" w:rsidRPr="00270F71">
        <w:rPr>
          <w:rFonts w:ascii="Times New Roman" w:hAnsi="Times New Roman" w:hint="eastAsia"/>
          <w:sz w:val="24"/>
          <w:szCs w:val="28"/>
        </w:rPr>
        <w:instrText xml:space="preserve"> = 65 %, P = 0.06), knee muscle strength speed (SMD = 0.26; 95 % CI = 0.17-0.36, P &lt; 0.00001; I</w:instrText>
      </w:r>
      <w:r w:rsidR="00BB5AD6" w:rsidRPr="00270F71">
        <w:rPr>
          <w:rFonts w:ascii="Times New Roman" w:hAnsi="Times New Roman" w:hint="eastAsia"/>
          <w:sz w:val="24"/>
          <w:szCs w:val="28"/>
        </w:rPr>
        <w:instrText>²</w:instrText>
      </w:r>
      <w:r w:rsidR="00BB5AD6" w:rsidRPr="00270F71">
        <w:rPr>
          <w:rFonts w:ascii="Times New Roman" w:hAnsi="Times New Roman" w:hint="eastAsia"/>
          <w:sz w:val="24"/>
          <w:szCs w:val="28"/>
        </w:rPr>
        <w:instrText xml:space="preserve"> = 0 %, P = 0.69), global cognition (SMD = 0.24; 95 % CI = 0.15-0.33, P &lt; 0.00001; I</w:instrText>
      </w:r>
      <w:r w:rsidR="00BB5AD6" w:rsidRPr="00270F71">
        <w:rPr>
          <w:rFonts w:ascii="Times New Roman" w:hAnsi="Times New Roman" w:hint="eastAsia"/>
          <w:sz w:val="24"/>
          <w:szCs w:val="28"/>
        </w:rPr>
        <w:instrText>²</w:instrText>
      </w:r>
      <w:r w:rsidR="00BB5AD6" w:rsidRPr="00270F71">
        <w:rPr>
          <w:rFonts w:ascii="Times New Roman" w:hAnsi="Times New Roman" w:hint="eastAsia"/>
          <w:sz w:val="24"/>
          <w:szCs w:val="28"/>
        </w:rPr>
        <w:instrText xml:space="preserve"> = 85 %, P &lt; 0.00001), and memory (SMD = 0.18; 95 % CI = 0.13-0.25, P &lt; 0.00001; I</w:instrText>
      </w:r>
      <w:r w:rsidR="00BB5AD6" w:rsidRPr="00270F71">
        <w:rPr>
          <w:rFonts w:ascii="Times New Roman" w:hAnsi="Times New Roman" w:hint="eastAsia"/>
          <w:sz w:val="24"/>
          <w:szCs w:val="28"/>
        </w:rPr>
        <w:instrText>²</w:instrText>
      </w:r>
      <w:r w:rsidR="00BB5AD6" w:rsidRPr="00270F71">
        <w:rPr>
          <w:rFonts w:ascii="Times New Roman" w:hAnsi="Times New Roman" w:hint="eastAsia"/>
          <w:sz w:val="24"/>
          <w:szCs w:val="28"/>
        </w:rPr>
        <w:instrText xml:space="preserve"> = 100 %, P &lt; 0.00001). The association between MeDi adherence and global cognition remained significant after stratifying the analysis by the region where the study was conducted, MeDi diet adherence composite score, and Mini Mental State Examination (MMSE). Studies had a moderate to low risk of bias. In relation to longitudinal analysis, thirty-four prospective studies with an average follow-up period that varied from 3.0 to 12.6 years and investigated 98.315 community-dwellers were included. Results indicated that older adults with high MeDi scores had a lower decline in global cognition RR = 0.26; 95 % CI = 0.23-0.29, P &lt; 0.00001; I</w:instrText>
      </w:r>
      <w:r w:rsidR="00BB5AD6" w:rsidRPr="00270F71">
        <w:rPr>
          <w:rFonts w:ascii="Times New Roman" w:hAnsi="Times New Roman" w:hint="eastAsia"/>
          <w:sz w:val="24"/>
          <w:szCs w:val="28"/>
        </w:rPr>
        <w:instrText>²</w:instrText>
      </w:r>
      <w:r w:rsidR="00BB5AD6" w:rsidRPr="00270F71">
        <w:rPr>
          <w:rFonts w:ascii="Times New Roman" w:hAnsi="Times New Roman" w:hint="eastAsia"/>
          <w:sz w:val="24"/>
          <w:szCs w:val="28"/>
        </w:rPr>
        <w:instrText xml:space="preserve"> = 100 %, P &lt; 0.00001). In contrast, no significant associations between MeDi and mobility, MCI, dementia were found. A low risk of bias was found in the longitudinal studies.\nDISCUSSION: Findings of the present study indicated that high adherence to MeDi was cross-sectionally associated with physical performance and cognitive function. Results of the pooled analysis of longitudinal studies revealed that high adherence to MeDi reduced the risk of global cognitive decline in non-demented older adults. However, no significant associations between MeDi adherence and the incidence of mobility problems, MCI, and dementia were found. Although important, our findings should be carefully interpreted due to the presence of heterogeneity and publication bias.","container-title":"Ageing Research Reviews","DOI":"10.1016/j.arr.2021.101395","ISSN":"1872-9649","journalAbbreviation":"Ageing Res Rev","language":"eng","note":"PMID: 34153553","page":"101395","source":"PubMed","title":"Cross-sectional and longitudinal associations between adherence to mediterranean diet with physical performance and cognitive function in older adults: A systematic review and meta-analysis","title-short":"Cross-sectional and longitudinal associations between adherence to Mediterranean diet with physical performance and cognitive function in older adults","volume":"70","author":[{"family":"Coelho-J</w:instrText>
      </w:r>
      <w:r w:rsidR="00BB5AD6" w:rsidRPr="00270F71">
        <w:rPr>
          <w:rFonts w:ascii="Times New Roman" w:hAnsi="Times New Roman" w:hint="eastAsia"/>
          <w:sz w:val="24"/>
          <w:szCs w:val="28"/>
        </w:rPr>
        <w:instrText>ú</w:instrText>
      </w:r>
      <w:r w:rsidR="00BB5AD6" w:rsidRPr="00270F71">
        <w:rPr>
          <w:rFonts w:ascii="Times New Roman" w:hAnsi="Times New Roman" w:hint="eastAsia"/>
          <w:sz w:val="24"/>
          <w:szCs w:val="28"/>
        </w:rPr>
        <w:instrText>nior","given":"H</w:instrText>
      </w:r>
      <w:r w:rsidR="00BB5AD6" w:rsidRPr="00270F71">
        <w:rPr>
          <w:rFonts w:ascii="Times New Roman" w:hAnsi="Times New Roman" w:hint="eastAsia"/>
          <w:sz w:val="24"/>
          <w:szCs w:val="28"/>
        </w:rPr>
        <w:instrText>é</w:instrText>
      </w:r>
      <w:r w:rsidR="00BB5AD6" w:rsidRPr="00270F71">
        <w:rPr>
          <w:rFonts w:ascii="Times New Roman" w:hAnsi="Times New Roman" w:hint="eastAsia"/>
          <w:sz w:val="24"/>
          <w:szCs w:val="28"/>
        </w:rPr>
        <w:instrText>lio Jos</w:instrText>
      </w:r>
      <w:r w:rsidR="00BB5AD6" w:rsidRPr="00270F71">
        <w:rPr>
          <w:rFonts w:ascii="Times New Roman" w:hAnsi="Times New Roman" w:hint="eastAsia"/>
          <w:sz w:val="24"/>
          <w:szCs w:val="28"/>
        </w:rPr>
        <w:instrText>é</w:instrText>
      </w:r>
      <w:r w:rsidR="00BB5AD6" w:rsidRPr="00270F71">
        <w:rPr>
          <w:rFonts w:ascii="Times New Roman" w:hAnsi="Times New Roman" w:hint="eastAsia"/>
          <w:sz w:val="24"/>
          <w:szCs w:val="28"/>
        </w:rPr>
        <w:instrText xml:space="preserve">"},{"family":"Trichopoulou","given":"Antonia"},{"family":"Panza","given":"Francesco"}],"issued":{"date-parts":[["2021",9]]}},"label":"page"},{"id":3720,"uris":["http://zotero.org/users/9760063/items/PDBL5MDH"],"itemData":{"id":3720,"type":"article-journal","abstract":"Poor diet and obesity are associated with cognitive impairment throughout adulthood, and increased dementia risk in aging. Here we review the current literature interrogating the mechanisms by which diets high in fat, or fat and sugar lead to cognitive impairment, focusing on changes to gut microbiome composition, inflammatory signalling and blood-brain barrier integrity. Preclinical studies indicate weight gain is not necessary for diet-induced cognitive impairment. Rather, gut microbiome composition, and systemic and central inflammatory processes appear to contribute to diet-induced cognitive impairment. While both obese humans and rodents exhibit reduced blood-brain barrier integrity, cognitive impairments precede these changes, suggesting other mechanisms may underly diet-induced cognitive changes. Other potential candidates include hormone, glucoregulatory and cardiovascular changes. Poor diet and obesity act through multiple mechanisms to affect cognitive health and the challenge for future research is to identify key processes that can be reversed to improve cognition and quality of life.","container-title":"Biochimica Et Biophysica Acta. Molecular Basis of Disease","DOI":"10.1016/j.bbadis.2020.165767","ISSN":"1879-260X","issue":"6","journalAbbreviation":"Biochim Biophys Acta Mol Basis Dis","language":"eng","note":"PMID: 32171891","page":"165767","source":"PubMed","title":"Diet, inflammation and the gut microbiome: Mechanisms for obesity-associated cognitive impairment","title-short":"Diet, inflammation and the gut microbiome","volume":"1866","author":[{"family":"Leigh","given":"Sarah-Jane"},{"family":"Morris","given":"Margaret J."}],"issued":{"date-parts":[["2020",6,1]]}},"label":"page"}],"schema":"https://github.com/citation-style-language/schema/raw/master/csl-citation.json"} </w:instrText>
      </w:r>
      <w:r w:rsidR="00BD665B" w:rsidRPr="00270F71">
        <w:rPr>
          <w:rFonts w:ascii="Times New Roman" w:hAnsi="Times New Roman"/>
          <w:sz w:val="24"/>
          <w:szCs w:val="28"/>
        </w:rPr>
        <w:fldChar w:fldCharType="separate"/>
      </w:r>
      <w:r w:rsidR="00BB5AD6" w:rsidRPr="00270F71">
        <w:rPr>
          <w:rFonts w:ascii="Times New Roman" w:hAnsi="Times New Roman"/>
          <w:sz w:val="24"/>
          <w:szCs w:val="28"/>
        </w:rPr>
        <w:t>[7–9]</w:t>
      </w:r>
      <w:r w:rsidR="00BD665B" w:rsidRPr="00270F71">
        <w:rPr>
          <w:rFonts w:ascii="Times New Roman" w:hAnsi="Times New Roman"/>
          <w:sz w:val="24"/>
          <w:szCs w:val="28"/>
        </w:rPr>
        <w:fldChar w:fldCharType="end"/>
      </w:r>
      <w:r w:rsidRPr="00270F71">
        <w:rPr>
          <w:rFonts w:ascii="Times New Roman" w:hAnsi="Times New Roman"/>
          <w:sz w:val="24"/>
          <w:szCs w:val="28"/>
        </w:rPr>
        <w:t xml:space="preserve">. </w:t>
      </w:r>
      <w:r w:rsidR="00E430F0" w:rsidRPr="00270F71">
        <w:rPr>
          <w:rFonts w:ascii="Times New Roman" w:hAnsi="Times New Roman"/>
          <w:sz w:val="24"/>
          <w:szCs w:val="28"/>
        </w:rPr>
        <w:t>Of particular interest is spicy food, which has gained significant scientific attention due to its potential health benefits. Capsaicin, the primary active compound in chili peppers, has demonstrated anti-inflammatory, antioxidant, and neuroprotective properties</w:t>
      </w:r>
      <w:r w:rsidR="00BD665B" w:rsidRPr="00270F71">
        <w:rPr>
          <w:rFonts w:ascii="Times New Roman" w:hAnsi="Times New Roman"/>
          <w:sz w:val="24"/>
          <w:szCs w:val="28"/>
        </w:rPr>
        <w:fldChar w:fldCharType="begin"/>
      </w:r>
      <w:r w:rsidR="00BB5AD6" w:rsidRPr="00270F71">
        <w:rPr>
          <w:rFonts w:ascii="Times New Roman" w:hAnsi="Times New Roman" w:hint="eastAsia"/>
          <w:sz w:val="24"/>
          <w:szCs w:val="28"/>
        </w:rPr>
        <w:instrText xml:space="preserve"> ADDIN ZOTERO_ITEM CSL_CITATION {"citationID":"SQs7DUOs","properties":{"unsorted":true,"formattedCitation":"\\super [10]\\nosupersub{}","plainCitation":"[10]","noteIndex":0},"citationItems":[{"id":"kuVermZp/bG7LlON8","uris":["http://zotero.org/users/9805811/items/SKI9CWKI"],"itemData":{"id":892,"type":"article-journal","abstract":"Capsaicin is the primary bioactive substance in red chili peppers, which produces the pungent flavor. During the past few decades, pharmacological benefits of capsaicin and its underlying mechanisms have been examined extensively. In this paper, major biological efficacies of capsaicin are reviewed, including analgesic, antioxidant, anti-inflammatory, anti-cancer, anti-obesity, cardio-protective, and metabolic modulation effects. Novel delivery systems, such as liposomes, micelles, micro/nano-emulsions, colloidal capsules and solid nanoparticles, for enhancing the oral bioavailability of capsaicin are also evaluated depending on the stability, encapsulation efficiency and biological properties. This review provides a theoretical basis for capsaicin to be further developed into a multi-functional ingredient with health-promoting functions in the nutraceutical industry.","call-number":"1","container-title":"Food &amp; Function","DOI":"10.1039/d0fo00351d","ISSN":"2042-650X","issue":"4","journalAbbreviation":"Food Funct","language":"eng","note":"PMID: 32246759","page":"2848-2860","source":"6.1","title":"Capsaicin-the major bioactive ingredient of chili peppers: bio-efficacy and delivery systems","title-short":"Capsaicin-the major bioactive ingredient of chili peppers","volume":"11","author":[{"family":"Lu","given":"Muwen"},{"family":"Chen","given":"Chengyu"},{"family":"Lan","given":"Yaqi"},{"family":"Xiao","given":"Jie"},{"family":"Li","given":"Run"},{"family":"Huang","given":"Junqing"},{"family":"Huang","given":"Qingrong"},{"family":"Cao","given":"Yong"},{"family":"Ho","given":"Chi-Tang"}],"issued":{"date-parts":[["2020",4,30]]}}}],"schema":"https://github.com/citation-style-language/schema/raw/master/csl-citation.json"} </w:instrText>
      </w:r>
      <w:r w:rsidR="00BD665B" w:rsidRPr="00270F71">
        <w:rPr>
          <w:rFonts w:ascii="Times New Roman" w:hAnsi="Times New Roman"/>
          <w:sz w:val="24"/>
          <w:szCs w:val="28"/>
        </w:rPr>
        <w:fldChar w:fldCharType="separate"/>
      </w:r>
      <w:r w:rsidR="00BB5AD6" w:rsidRPr="00270F71">
        <w:rPr>
          <w:rFonts w:ascii="Times New Roman" w:hAnsi="Times New Roman"/>
          <w:sz w:val="24"/>
          <w:szCs w:val="28"/>
        </w:rPr>
        <w:t>[10]</w:t>
      </w:r>
      <w:r w:rsidR="00BD665B" w:rsidRPr="00270F71">
        <w:rPr>
          <w:rFonts w:ascii="Times New Roman" w:hAnsi="Times New Roman"/>
          <w:sz w:val="24"/>
          <w:szCs w:val="28"/>
        </w:rPr>
        <w:fldChar w:fldCharType="end"/>
      </w:r>
      <w:r w:rsidR="00E430F0" w:rsidRPr="00270F71">
        <w:rPr>
          <w:rFonts w:ascii="Times New Roman" w:hAnsi="Times New Roman"/>
          <w:sz w:val="24"/>
          <w:szCs w:val="28"/>
        </w:rPr>
        <w:t>. Animal studies have shown that capsaicin supplementation may protect cognitive function in mice by reducing the production of brain amyloid-β</w:t>
      </w:r>
      <w:r w:rsidR="00BD665B" w:rsidRPr="00270F71">
        <w:rPr>
          <w:rFonts w:ascii="Times New Roman" w:hAnsi="Times New Roman" w:hint="eastAsia"/>
          <w:sz w:val="24"/>
          <w:szCs w:val="28"/>
        </w:rPr>
        <w:t xml:space="preserve"> </w:t>
      </w:r>
      <w:r w:rsidR="00E430F0" w:rsidRPr="00270F71">
        <w:rPr>
          <w:rFonts w:ascii="Times New Roman" w:hAnsi="Times New Roman"/>
          <w:sz w:val="24"/>
          <w:szCs w:val="28"/>
        </w:rPr>
        <w:t>(Aβ)</w:t>
      </w:r>
      <w:r w:rsidR="00BD665B" w:rsidRPr="00270F71">
        <w:rPr>
          <w:rFonts w:ascii="Times New Roman" w:hAnsi="Times New Roman"/>
          <w:sz w:val="24"/>
          <w:szCs w:val="28"/>
        </w:rPr>
        <w:t xml:space="preserve"> </w:t>
      </w:r>
      <w:r w:rsidR="00BD665B" w:rsidRPr="00270F71">
        <w:rPr>
          <w:rFonts w:ascii="Times New Roman" w:hAnsi="Times New Roman"/>
          <w:sz w:val="24"/>
          <w:szCs w:val="28"/>
        </w:rPr>
        <w:fldChar w:fldCharType="begin"/>
      </w:r>
      <w:r w:rsidR="00BB5AD6" w:rsidRPr="00270F71">
        <w:rPr>
          <w:rFonts w:ascii="Times New Roman" w:hAnsi="Times New Roman" w:hint="eastAsia"/>
          <w:sz w:val="24"/>
          <w:szCs w:val="28"/>
        </w:rPr>
        <w:instrText xml:space="preserve"> ADDIN ZOTERO_ITEM CSL_CITATION {"citationID":"8t9kvvdM","properties":{"formattedCitation":"\\super [11]\\nosupersub{}","plainCitation":"[11]","noteIndex":0},"citationItems":[{"id":"kuVermZp/IwS31ECg","uris":["http://zotero.org/users/9805811/items/LX5B37MP"],"itemData":{"id":674,"type":"article-journal","abstract":"Alzheimer's disease (AD) is the most common cause of age-related dementia and is currently incurable. The failures of current clinical trials and the establishment of modifiable risk factors have shifted the AD intervention from treatment to prevention in the at-risk population. Previous studies suggest that there is a geographic overlap between AD incidence and spicy food consumption. We previously reported that capsaicin-rich diet consumption was associated with better cognition and lower serum Amyloid-beta (A</w:instrText>
      </w:r>
      <w:r w:rsidR="00BB5AD6" w:rsidRPr="00270F71">
        <w:rPr>
          <w:rFonts w:ascii="Times New Roman" w:hAnsi="Times New Roman" w:hint="eastAsia"/>
          <w:sz w:val="24"/>
          <w:szCs w:val="28"/>
        </w:rPr>
        <w:instrText>β</w:instrText>
      </w:r>
      <w:r w:rsidR="00BB5AD6" w:rsidRPr="00270F71">
        <w:rPr>
          <w:rFonts w:ascii="Times New Roman" w:hAnsi="Times New Roman" w:hint="eastAsia"/>
          <w:sz w:val="24"/>
          <w:szCs w:val="28"/>
        </w:rPr>
        <w:instrText>) levels in people aged 40 years and over. In the present study, we found that intake of capsaicin, the pungent ingredient in chili peppers, reduced brain A</w:instrText>
      </w:r>
      <w:r w:rsidR="00BB5AD6" w:rsidRPr="00270F71">
        <w:rPr>
          <w:rFonts w:ascii="Times New Roman" w:hAnsi="Times New Roman" w:hint="eastAsia"/>
          <w:sz w:val="24"/>
          <w:szCs w:val="28"/>
        </w:rPr>
        <w:instrText>β</w:instrText>
      </w:r>
      <w:r w:rsidR="00BB5AD6" w:rsidRPr="00270F71">
        <w:rPr>
          <w:rFonts w:ascii="Times New Roman" w:hAnsi="Times New Roman" w:hint="eastAsia"/>
          <w:sz w:val="24"/>
          <w:szCs w:val="28"/>
        </w:rPr>
        <w:instrText xml:space="preserve"> burden and rescued cognitive decline in APP/PS1 mice. Our in vivo and in vitro studies revealed that capsaicin shifted Amyloid precursor protein (APP) processing towards </w:instrText>
      </w:r>
      <w:r w:rsidR="00BB5AD6" w:rsidRPr="00270F71">
        <w:rPr>
          <w:rFonts w:ascii="Times New Roman" w:hAnsi="Times New Roman" w:hint="eastAsia"/>
          <w:sz w:val="24"/>
          <w:szCs w:val="28"/>
        </w:rPr>
        <w:instrText>α</w:instrText>
      </w:r>
      <w:r w:rsidR="00BB5AD6" w:rsidRPr="00270F71">
        <w:rPr>
          <w:rFonts w:ascii="Times New Roman" w:hAnsi="Times New Roman" w:hint="eastAsia"/>
          <w:sz w:val="24"/>
          <w:szCs w:val="28"/>
        </w:rPr>
        <w:instrText>-cleavage and precluded A</w:instrText>
      </w:r>
      <w:r w:rsidR="00BB5AD6" w:rsidRPr="00270F71">
        <w:rPr>
          <w:rFonts w:ascii="Times New Roman" w:hAnsi="Times New Roman" w:hint="eastAsia"/>
          <w:sz w:val="24"/>
          <w:szCs w:val="28"/>
        </w:rPr>
        <w:instrText>β</w:instrText>
      </w:r>
      <w:r w:rsidR="00BB5AD6" w:rsidRPr="00270F71">
        <w:rPr>
          <w:rFonts w:ascii="Times New Roman" w:hAnsi="Times New Roman" w:hint="eastAsia"/>
          <w:sz w:val="24"/>
          <w:szCs w:val="28"/>
        </w:rPr>
        <w:instrText xml:space="preserve"> generation by promoting the maturation of a disintegrin and metalloproteinase 10 (ADAM10). We also found that capsaicin alleviated other AD-type pathologies, such as tau hyperphosphorylation, neuroinflammation and neurodegeneration. The present study suggests that capsaicin is a potential therapeutic candidate for AD and warrants clinical trials on chili peppers or capsaicin as dietary supplementation for the prevention and treatment of AD.","call-number":"2","container-title":"Translational Psychiatry","DOI":"10.1038/s41398-020-00918-y","ISSN":"2158-3188","issue":"1","journalAbbreviation":"Transl Psychiatry","language":"eng","note":"PMID: 32661266\nPMCID: PMC7359297","page":"230","source":"7.989","title":"Capsaicin consumption reduces brain amyloid-beta generation and attenuates Alzheimer's disease-type pathology and cognitive deficits in APP/PS1 mice","volume":"10","author":[{"family":"Wang","given":"Jun"},{"family":"Sun","given":"Bin-Lu"},{"family":"Xiang","given":"Yang"},{"family":"Tian","given":"Ding-Yuan"},{"family":"Zhu","given":"Chi"},{"family":"Li","given":"Wei-Wei"},{"family":"Liu","given":"Yu-Hui"},{"family":"Bu","given":"Xian-Le"},{"family":"Shen","given":"Lin-Lin"},{"family":"Jin","given":"Wang-Sheng"},{"family":"Wang","given":"Zhen"},{"family":"Zeng","given":"Gui-Hua"},{"family":"Xu","given":"Wei"},{"family":"Chen","given":"Li-Yong"},{"family":"Chen","given":"Xiao-Wei"},{"family":"Hu","given":"Zhian"},{"family":"Zhu","given":"Zhi-Ming"},{"family":"Song","given":"Weihong"},{"family":"Zhou","given":"Hua-Dong"},{"family":"Yu","given":"Jin-Tai"},{"family":"Wang","given":"Yan-Jiang"}],"issued":{"date-parts":[["2020",7,13]]}}}],"schema":"https://github.com/citation-style-language/schema/raw/master/csl-citation.json"} </w:instrText>
      </w:r>
      <w:r w:rsidR="00BD665B" w:rsidRPr="00270F71">
        <w:rPr>
          <w:rFonts w:ascii="Times New Roman" w:hAnsi="Times New Roman"/>
          <w:sz w:val="24"/>
          <w:szCs w:val="28"/>
        </w:rPr>
        <w:fldChar w:fldCharType="separate"/>
      </w:r>
      <w:r w:rsidR="00BB5AD6" w:rsidRPr="00270F71">
        <w:rPr>
          <w:rFonts w:ascii="Times New Roman" w:hAnsi="Times New Roman"/>
          <w:sz w:val="24"/>
          <w:szCs w:val="28"/>
        </w:rPr>
        <w:t>[11]</w:t>
      </w:r>
      <w:r w:rsidR="00BD665B" w:rsidRPr="00270F71">
        <w:rPr>
          <w:rFonts w:ascii="Times New Roman" w:hAnsi="Times New Roman"/>
          <w:sz w:val="24"/>
          <w:szCs w:val="28"/>
        </w:rPr>
        <w:fldChar w:fldCharType="end"/>
      </w:r>
      <w:r w:rsidR="00E430F0" w:rsidRPr="00270F71">
        <w:rPr>
          <w:rFonts w:ascii="Times New Roman" w:hAnsi="Times New Roman"/>
          <w:sz w:val="24"/>
          <w:szCs w:val="28"/>
        </w:rPr>
        <w:t>, a protein associated with Alzheimer's disease. Furthermore, capsaicin has been found to reduce depressive-like behaviors in mice by stimulating neurotransmitter release through activation of transient receptor potential vanilloid 1 (TRPV1) receptors</w:t>
      </w:r>
      <w:r w:rsidR="00BB5AD6" w:rsidRPr="00270F71">
        <w:rPr>
          <w:rFonts w:ascii="Times New Roman" w:hAnsi="Times New Roman"/>
          <w:sz w:val="24"/>
          <w:szCs w:val="28"/>
        </w:rPr>
        <w:fldChar w:fldCharType="begin"/>
      </w:r>
      <w:r w:rsidR="00BB5AD6" w:rsidRPr="00270F71">
        <w:rPr>
          <w:rFonts w:ascii="Times New Roman" w:hAnsi="Times New Roman" w:hint="eastAsia"/>
          <w:sz w:val="24"/>
          <w:szCs w:val="28"/>
        </w:rPr>
        <w:instrText xml:space="preserve"> ADDIN ZOTERO_ITEM CSL_CITATION {"citationID":"DOlQTtZy","properties":{"formattedCitation":"\\super [12]\\nosupersub{}","plainCitation":"[12]","noteIndex":0},"citationItems":[{"id":"kuVermZp/zSXRb7h8","uris":["http://zotero.org/users/9805811/items/PJM6YLT3"],"itemData":{"id":891,"type":"article-journal","abstract":"Depression is a low-energy condition that has an impact on a person</w:instrText>
      </w:r>
      <w:r w:rsidR="00BB5AD6" w:rsidRPr="00270F71">
        <w:rPr>
          <w:rFonts w:ascii="Times New Roman" w:hAnsi="Times New Roman" w:hint="eastAsia"/>
          <w:sz w:val="24"/>
          <w:szCs w:val="28"/>
        </w:rPr>
        <w:instrText>’</w:instrText>
      </w:r>
      <w:r w:rsidR="00BB5AD6" w:rsidRPr="00270F71">
        <w:rPr>
          <w:rFonts w:ascii="Times New Roman" w:hAnsi="Times New Roman" w:hint="eastAsia"/>
          <w:sz w:val="24"/>
          <w:szCs w:val="28"/>
        </w:rPr>
        <w:instrText xml:space="preserve">s thoughts, actions, propensities, emotional state, and sense of wellbeing. According to the World Health Organization (WHO), 5% of adults are depressed. Individuals who are depressed are commonly prescribed antidepressants, and sometimes, individuals may have other psychiatric conditions that share overlapping symptoms with depression. These cooccurring conditions can complicate the diagnostic process, leading to a misdiagnosis and the prescription of antidepressants. Capsaicin (CAP) is a known antidepressant. Hence, this study aimed to assess the antidepressant activity of CAP nanoemulsion in nicotine (NC) withdrawal-induced depression in mice. Mice treated with CAP (3 mg/kg) showed reduced immobility in the forced swimming test (FST), tail-suspension test (TST), and open field test (OFT). During the OFT, the animals treated with nanoemulsion (CAP 3 mg/kg) spent less time in the corners than the control animals. Biochemical parameters, such as superoxide dismutase (SOD) and glutathione (GSH), were observed in reduced quantities in the NC withdrawal model (NWM), where they were slightly increased in the high-dose nanoemulsion (CAP 3 mg/kg) compared to the low-dose nanoemulsion (CAP 1 mg/kg). These results suggest that CAP caused antidepressant activity in the NWM via the nanoemulsion.","call-number":"4","container-title":"Brain Sciences","DOI":"10.3390/brainsci13121668","ISSN":"2076-3425","issue":"12","journalAbbreviation":"Brain Sci","note":"PMID: 38137115\nPMCID: PMC10742298","page":"1668","source":"3.3","title":"Evaluation of Antidepressant Activity of Capsaicin Nanoemulsion in Nicotine Withdrawal-Induced Depression in Mice","volume":"13","author":[{"family":"Krishnamoorthy","given":"Naveen Kumar"},{"family":"Roohi","given":"Tamsheel Fatima"},{"family":"Peddha","given":"Muthukumar Serva"},{"family":"Kinattingal","given":"Nabeel"},{"family":"Wani","given":"Shahid Ud Din"},{"family":"Krishna","given":"Kamsagara Linganna"},{"family":"Shakeel","given":"Faiyaz"},{"family":"Mehdi","given":"Seema"}],"issued":{"date-parts":[["2023",12,1]]}}}],"schema":"https://github.com/citation-style-language/schema/raw/master/csl-citation.json"} </w:instrText>
      </w:r>
      <w:r w:rsidR="00BB5AD6" w:rsidRPr="00270F71">
        <w:rPr>
          <w:rFonts w:ascii="Times New Roman" w:hAnsi="Times New Roman"/>
          <w:sz w:val="24"/>
          <w:szCs w:val="28"/>
        </w:rPr>
        <w:fldChar w:fldCharType="separate"/>
      </w:r>
      <w:r w:rsidR="00BB5AD6" w:rsidRPr="00270F71">
        <w:rPr>
          <w:rFonts w:ascii="Times New Roman" w:hAnsi="Times New Roman"/>
          <w:sz w:val="24"/>
          <w:szCs w:val="28"/>
        </w:rPr>
        <w:t>[12]</w:t>
      </w:r>
      <w:r w:rsidR="00BB5AD6" w:rsidRPr="00270F71">
        <w:rPr>
          <w:rFonts w:ascii="Times New Roman" w:hAnsi="Times New Roman"/>
          <w:sz w:val="24"/>
          <w:szCs w:val="28"/>
        </w:rPr>
        <w:fldChar w:fldCharType="end"/>
      </w:r>
      <w:r w:rsidR="00E430F0" w:rsidRPr="00270F71">
        <w:rPr>
          <w:rFonts w:ascii="Times New Roman" w:hAnsi="Times New Roman"/>
          <w:sz w:val="24"/>
          <w:szCs w:val="28"/>
        </w:rPr>
        <w:t>.</w:t>
      </w:r>
    </w:p>
    <w:p w14:paraId="5FB7479D" w14:textId="743693E6" w:rsidR="00E430F0" w:rsidRPr="00270F71" w:rsidRDefault="00E430F0" w:rsidP="00270F71">
      <w:pPr>
        <w:spacing w:beforeLines="50" w:before="120" w:after="0" w:line="240" w:lineRule="auto"/>
        <w:rPr>
          <w:rFonts w:ascii="Times New Roman" w:hAnsi="Times New Roman"/>
          <w:sz w:val="24"/>
          <w:szCs w:val="28"/>
        </w:rPr>
      </w:pPr>
      <w:r w:rsidRPr="00270F71">
        <w:rPr>
          <w:rFonts w:ascii="Times New Roman" w:hAnsi="Times New Roman"/>
          <w:sz w:val="24"/>
          <w:szCs w:val="28"/>
        </w:rPr>
        <w:lastRenderedPageBreak/>
        <w:t>Given the established link between depression and increased risk of cognitive decline and dementia, it is plausible that depression may mediate the relationship between spicy food consumption and cognitive function. However, comprehensive population-based studies investigating these relationships are lacking.</w:t>
      </w:r>
      <w:r w:rsidR="00BB5AD6" w:rsidRPr="00270F71">
        <w:rPr>
          <w:rFonts w:ascii="Times New Roman" w:hAnsi="Times New Roman" w:hint="eastAsia"/>
          <w:sz w:val="24"/>
          <w:szCs w:val="28"/>
        </w:rPr>
        <w:t xml:space="preserve"> </w:t>
      </w:r>
      <w:r w:rsidRPr="00270F71">
        <w:rPr>
          <w:rFonts w:ascii="Times New Roman" w:hAnsi="Times New Roman"/>
          <w:sz w:val="24"/>
          <w:szCs w:val="28"/>
        </w:rPr>
        <w:t>To address this research gap, our study integrates data from two large population cohorts: The West China Elderly Population Health Cohort (China) and the UK Biobank. We aim to assess the associations between spicy food preference, cognitive decline, and depression. Additionally, we employ mediation analysis to explore whether depressive symptoms potentially mediate the relationship between spicy food preference and cognitive function.</w:t>
      </w:r>
    </w:p>
    <w:p w14:paraId="77014A0D" w14:textId="77777777" w:rsidR="00101539" w:rsidRPr="004044ED" w:rsidRDefault="00101539" w:rsidP="00101539">
      <w:pPr>
        <w:pStyle w:val="a3"/>
        <w:shd w:val="clear" w:color="auto" w:fill="FFFFFF"/>
        <w:spacing w:before="0" w:beforeAutospacing="0" w:after="0" w:afterAutospacing="0"/>
        <w:rPr>
          <w:rFonts w:ascii="Times New Roman" w:hAnsi="Times New Roman" w:cs="Times New Roman"/>
          <w:color w:val="000000"/>
        </w:rPr>
      </w:pPr>
    </w:p>
    <w:p w14:paraId="41015BEA" w14:textId="77777777" w:rsidR="00101539" w:rsidRPr="004044ED" w:rsidRDefault="00101539" w:rsidP="00101539">
      <w:pPr>
        <w:pStyle w:val="a3"/>
        <w:shd w:val="clear" w:color="auto" w:fill="FFFFFF"/>
        <w:spacing w:before="0" w:beforeAutospacing="0" w:after="0" w:afterAutospacing="0"/>
        <w:rPr>
          <w:rFonts w:ascii="Times New Roman" w:hAnsi="Times New Roman" w:cs="Times New Roman"/>
          <w:color w:val="000000"/>
        </w:rPr>
      </w:pPr>
    </w:p>
    <w:p w14:paraId="275F033C" w14:textId="2EE963EC" w:rsidR="00E106E5" w:rsidRPr="00270F71" w:rsidRDefault="00101539" w:rsidP="00270F71">
      <w:pPr>
        <w:spacing w:beforeLines="50" w:before="120" w:after="0" w:line="240" w:lineRule="auto"/>
        <w:rPr>
          <w:rFonts w:ascii="Times New Roman" w:hAnsi="Times New Roman"/>
          <w:b/>
          <w:bCs/>
          <w:sz w:val="24"/>
          <w:szCs w:val="28"/>
        </w:rPr>
      </w:pPr>
      <w:r w:rsidRPr="00270F71">
        <w:rPr>
          <w:rFonts w:ascii="Times New Roman" w:hAnsi="Times New Roman"/>
          <w:b/>
          <w:bCs/>
          <w:sz w:val="24"/>
          <w:szCs w:val="28"/>
        </w:rPr>
        <w:t>Methods</w:t>
      </w:r>
      <w:r w:rsidRPr="00270F71">
        <w:rPr>
          <w:rFonts w:ascii="Times New Roman" w:hAnsi="Times New Roman"/>
          <w:b/>
          <w:bCs/>
          <w:sz w:val="24"/>
          <w:szCs w:val="28"/>
        </w:rPr>
        <w:br/>
      </w:r>
      <w:r w:rsidR="00E106E5" w:rsidRPr="00270F71">
        <w:rPr>
          <w:rFonts w:ascii="Times New Roman" w:hAnsi="Times New Roman" w:hint="eastAsia"/>
          <w:b/>
          <w:bCs/>
          <w:sz w:val="24"/>
          <w:szCs w:val="28"/>
        </w:rPr>
        <w:t>Study Population:</w:t>
      </w:r>
    </w:p>
    <w:p w14:paraId="7B4D5AB4" w14:textId="00FEBE9A" w:rsidR="00E106E5" w:rsidRPr="00270F71" w:rsidRDefault="00E106E5"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This study utilized data from two cohorts: The West China Elderly Population Health Cohort (WCEPHC) with 1,961 participants and the UK Biobank (UKB)</w:t>
      </w:r>
      <w:r w:rsidR="00BB5AD6" w:rsidRPr="00270F71">
        <w:rPr>
          <w:rFonts w:ascii="Times New Roman" w:hAnsi="Times New Roman"/>
          <w:sz w:val="24"/>
          <w:szCs w:val="28"/>
        </w:rPr>
        <w:t xml:space="preserve"> </w:t>
      </w:r>
      <w:r w:rsidR="00BB5AD6" w:rsidRPr="00270F71">
        <w:rPr>
          <w:rFonts w:ascii="Times New Roman" w:hAnsi="Times New Roman"/>
          <w:sz w:val="24"/>
          <w:szCs w:val="28"/>
        </w:rPr>
        <w:fldChar w:fldCharType="begin"/>
      </w:r>
      <w:r w:rsidR="00BB5AD6" w:rsidRPr="00270F71">
        <w:rPr>
          <w:rFonts w:ascii="Times New Roman" w:hAnsi="Times New Roman" w:hint="eastAsia"/>
          <w:sz w:val="24"/>
          <w:szCs w:val="28"/>
        </w:rPr>
        <w:instrText xml:space="preserve"> ADDIN ZOTERO_ITEM CSL_CITATION {"citationID":"oa4Axm2H","properties":{"formattedCitation":"\\super [13]\\nosupersub{}","plainCitation":"[13]","noteIndex":0},"citationItems":[{"id":"kuVermZp/hr4w1vj4","uris":["http://zotero.org/users/9805811/items/8ES7VR3R"],"itemData":{"id":940,"type":"article-journal","abstract":"Cathie Sudlow and colleagues describe the UK Biobank, a large population-based prospective study, established to allow investigation of the genetic and non-genetic determinants of the diseases of middle and old age.","call-number":"1","container-title":"PLoS Medicine","DOI":"10.1371/journal.pmed.1001779","ISSN":"1549-1277","issue":"3","journalAbbreviation":"PLoS Med","note":"PMID: 25826379\nPMCID: PMC4380465","page":"e1001779","source":"15.8","title":"UK Biobank: An Open Access Resource for Identifying the Causes of a Wide Range of Complex Diseases of Middle and Old Age","title-short":"UK Biobank","volume":"12","author":[{"family":"Sudlow","given":"Cathie"},{"family":"Gallacher","given":"John"},{"family":"Allen","given":"Naomi"},{"family":"Beral","given":"Valerie"},{"family":"Burton","given":"Paul"},{"family":"Danesh","given":"John"},{"family":"Downey","given":"Paul"},{"family":"Elliott","given":"Paul"},{"family":"Green","given":"Jane"},{"family":"Landray","given":"Martin"},{"family":"Liu","given":"Bette"},{"family":"Matthews","given":"Paul"},{"family":"Ong","given":"Giok"},{"family":"Pell","given":"Jill"},{"family":"Silman","given":"Alan"},{"family":"Young","given":"Alan"},{"family":"Sprosen","given":"Tim"},{"family":"Peakman","given":"Tim"},{"family":"Collins","given":"Rory"}],"issued":{"date-parts":[["2015",3,31]]}}}],"schema":"https://github.com/citation-style-language/schema/raw/master/csl-citation.json"} </w:instrText>
      </w:r>
      <w:r w:rsidR="00BB5AD6" w:rsidRPr="00270F71">
        <w:rPr>
          <w:rFonts w:ascii="Times New Roman" w:hAnsi="Times New Roman"/>
          <w:sz w:val="24"/>
          <w:szCs w:val="28"/>
        </w:rPr>
        <w:fldChar w:fldCharType="separate"/>
      </w:r>
      <w:r w:rsidR="00BB5AD6" w:rsidRPr="00270F71">
        <w:rPr>
          <w:rFonts w:ascii="Times New Roman" w:hAnsi="Times New Roman"/>
          <w:sz w:val="24"/>
          <w:szCs w:val="28"/>
        </w:rPr>
        <w:t>[13]</w:t>
      </w:r>
      <w:r w:rsidR="00BB5AD6" w:rsidRPr="00270F71">
        <w:rPr>
          <w:rFonts w:ascii="Times New Roman" w:hAnsi="Times New Roman"/>
          <w:sz w:val="24"/>
          <w:szCs w:val="28"/>
        </w:rPr>
        <w:fldChar w:fldCharType="end"/>
      </w:r>
      <w:r w:rsidRPr="00270F71">
        <w:rPr>
          <w:rFonts w:ascii="Times New Roman" w:hAnsi="Times New Roman" w:hint="eastAsia"/>
          <w:sz w:val="24"/>
          <w:szCs w:val="28"/>
        </w:rPr>
        <w:t xml:space="preserve"> with 71,519 participants, both aged 60 years and above. Individuals with psychiatric disorders and a history of stroke were excluded from both cohorts.</w:t>
      </w:r>
    </w:p>
    <w:p w14:paraId="619DA4C6" w14:textId="77777777" w:rsidR="00E106E5" w:rsidRPr="00270F71" w:rsidRDefault="00E106E5" w:rsidP="00270F71">
      <w:pPr>
        <w:spacing w:beforeLines="50" w:before="120" w:after="0" w:line="240" w:lineRule="auto"/>
        <w:rPr>
          <w:rFonts w:ascii="Times New Roman" w:hAnsi="Times New Roman"/>
          <w:b/>
          <w:bCs/>
          <w:sz w:val="24"/>
          <w:szCs w:val="28"/>
        </w:rPr>
      </w:pPr>
      <w:r w:rsidRPr="00270F71">
        <w:rPr>
          <w:rFonts w:ascii="Times New Roman" w:hAnsi="Times New Roman" w:hint="eastAsia"/>
          <w:b/>
          <w:bCs/>
          <w:sz w:val="24"/>
          <w:szCs w:val="28"/>
        </w:rPr>
        <w:t>Assessment of Spicy Food Preference:</w:t>
      </w:r>
    </w:p>
    <w:p w14:paraId="55B791A8" w14:textId="7E5BBD75" w:rsidR="00C40F88" w:rsidRPr="00270F71" w:rsidRDefault="00E106E5"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The WCEPHC employed a Food Frequency Questionnaire (FFQ) assessing frequency, age of onset, and degree of spicy food consumption. The UKB used a Dietary Preferences Survey evaluating liking for spicy food, chili pepper, and burning sensation. Both cohorts created a comprehensive "spicy food preference score" and categorized preferences into four levels: dislike, low, moderate, and high.</w:t>
      </w:r>
    </w:p>
    <w:p w14:paraId="7B2F3997" w14:textId="4D78D0A7" w:rsidR="00E106E5" w:rsidRPr="00270F71" w:rsidRDefault="00E106E5" w:rsidP="00270F71">
      <w:pPr>
        <w:spacing w:beforeLines="50" w:before="120" w:after="0" w:line="240" w:lineRule="auto"/>
        <w:rPr>
          <w:rFonts w:ascii="Times New Roman" w:hAnsi="Times New Roman"/>
          <w:b/>
          <w:bCs/>
          <w:sz w:val="24"/>
          <w:szCs w:val="28"/>
        </w:rPr>
      </w:pPr>
      <w:r w:rsidRPr="00270F71">
        <w:rPr>
          <w:rFonts w:ascii="Times New Roman" w:hAnsi="Times New Roman" w:hint="eastAsia"/>
          <w:b/>
          <w:bCs/>
          <w:sz w:val="24"/>
          <w:szCs w:val="28"/>
        </w:rPr>
        <w:t>Measurement of Depressive Symptoms</w:t>
      </w:r>
      <w:r w:rsidR="00C40F88" w:rsidRPr="00270F71">
        <w:rPr>
          <w:rFonts w:ascii="Times New Roman" w:hAnsi="Times New Roman" w:hint="eastAsia"/>
          <w:b/>
          <w:bCs/>
          <w:sz w:val="24"/>
          <w:szCs w:val="28"/>
        </w:rPr>
        <w:t>,</w:t>
      </w:r>
      <w:r w:rsidRPr="00270F71">
        <w:rPr>
          <w:rFonts w:ascii="Times New Roman" w:hAnsi="Times New Roman" w:hint="eastAsia"/>
          <w:b/>
          <w:bCs/>
          <w:sz w:val="24"/>
          <w:szCs w:val="28"/>
        </w:rPr>
        <w:t xml:space="preserve"> Cognitive Function</w:t>
      </w:r>
      <w:r w:rsidR="00C40F88" w:rsidRPr="00270F71">
        <w:rPr>
          <w:rFonts w:ascii="Times New Roman" w:hAnsi="Times New Roman" w:hint="eastAsia"/>
          <w:b/>
          <w:bCs/>
          <w:sz w:val="24"/>
          <w:szCs w:val="28"/>
        </w:rPr>
        <w:t xml:space="preserve"> and Covariates:</w:t>
      </w:r>
    </w:p>
    <w:p w14:paraId="280F7207" w14:textId="21B9CDC8" w:rsidR="00E106E5" w:rsidRPr="00270F71" w:rsidRDefault="00E106E5"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 xml:space="preserve">Depressive symptoms were assessed using the </w:t>
      </w:r>
      <w:r w:rsidR="00977838" w:rsidRPr="00270F71">
        <w:rPr>
          <w:rFonts w:ascii="Times New Roman" w:hAnsi="Times New Roman" w:hint="eastAsia"/>
          <w:sz w:val="24"/>
          <w:szCs w:val="28"/>
        </w:rPr>
        <w:t xml:space="preserve">15-item Geriatric Depression Scale (GDS-15) </w:t>
      </w:r>
      <w:r w:rsidRPr="00270F71">
        <w:rPr>
          <w:rFonts w:ascii="Times New Roman" w:hAnsi="Times New Roman" w:hint="eastAsia"/>
          <w:sz w:val="24"/>
          <w:szCs w:val="28"/>
        </w:rPr>
        <w:t xml:space="preserve">in WCEPHC and </w:t>
      </w:r>
      <w:r w:rsidR="00977838" w:rsidRPr="00270F71">
        <w:rPr>
          <w:rFonts w:ascii="Times New Roman" w:hAnsi="Times New Roman" w:hint="eastAsia"/>
          <w:sz w:val="24"/>
          <w:szCs w:val="28"/>
        </w:rPr>
        <w:t xml:space="preserve">Patient Health Questionnaire (PHQ-9), </w:t>
      </w:r>
      <w:r w:rsidRPr="00270F71">
        <w:rPr>
          <w:rFonts w:ascii="Times New Roman" w:hAnsi="Times New Roman" w:hint="eastAsia"/>
          <w:sz w:val="24"/>
          <w:szCs w:val="28"/>
        </w:rPr>
        <w:t xml:space="preserve">in UKB. Cognitive function was measured using </w:t>
      </w:r>
      <w:r w:rsidR="00977838" w:rsidRPr="00270F71">
        <w:rPr>
          <w:rFonts w:ascii="Times New Roman" w:hAnsi="Times New Roman" w:hint="eastAsia"/>
          <w:sz w:val="24"/>
          <w:szCs w:val="28"/>
        </w:rPr>
        <w:t xml:space="preserve">Mini-mental State Examination (MMSE) </w:t>
      </w:r>
      <w:r w:rsidRPr="00270F71">
        <w:rPr>
          <w:rFonts w:ascii="Times New Roman" w:hAnsi="Times New Roman" w:hint="eastAsia"/>
          <w:sz w:val="24"/>
          <w:szCs w:val="28"/>
        </w:rPr>
        <w:t>in WCEPHC and a fluid intelligence</w:t>
      </w:r>
      <w:r w:rsidR="00977838" w:rsidRPr="00270F71">
        <w:rPr>
          <w:rFonts w:ascii="Times New Roman" w:hAnsi="Times New Roman" w:hint="eastAsia"/>
          <w:sz w:val="24"/>
          <w:szCs w:val="28"/>
        </w:rPr>
        <w:t xml:space="preserve"> (FI)</w:t>
      </w:r>
      <w:r w:rsidRPr="00270F71">
        <w:rPr>
          <w:rFonts w:ascii="Times New Roman" w:hAnsi="Times New Roman" w:hint="eastAsia"/>
          <w:sz w:val="24"/>
          <w:szCs w:val="28"/>
        </w:rPr>
        <w:t xml:space="preserve"> test in UKB.</w:t>
      </w:r>
      <w:r w:rsidR="00C40F88" w:rsidRPr="00270F71">
        <w:rPr>
          <w:rFonts w:ascii="Times New Roman" w:hAnsi="Times New Roman" w:hint="eastAsia"/>
          <w:sz w:val="24"/>
          <w:szCs w:val="28"/>
        </w:rPr>
        <w:t xml:space="preserve"> </w:t>
      </w:r>
      <w:r w:rsidRPr="00270F71">
        <w:rPr>
          <w:rFonts w:ascii="Times New Roman" w:hAnsi="Times New Roman" w:hint="eastAsia"/>
          <w:sz w:val="24"/>
          <w:szCs w:val="28"/>
        </w:rPr>
        <w:t>The study accounted for demographic characteristics, lifestyle factors (BMI, smoking, alcohol consumption, physical activity, dietary habits), and chronic diseases as potential confounding factors.</w:t>
      </w:r>
    </w:p>
    <w:p w14:paraId="7396375A" w14:textId="77777777" w:rsidR="00E106E5" w:rsidRPr="00270F71" w:rsidRDefault="00E106E5" w:rsidP="00270F71">
      <w:pPr>
        <w:spacing w:beforeLines="50" w:before="120" w:after="0" w:line="240" w:lineRule="auto"/>
        <w:rPr>
          <w:rFonts w:ascii="Times New Roman" w:hAnsi="Times New Roman"/>
          <w:b/>
          <w:bCs/>
          <w:sz w:val="24"/>
          <w:szCs w:val="28"/>
        </w:rPr>
      </w:pPr>
      <w:r w:rsidRPr="00270F71">
        <w:rPr>
          <w:rFonts w:ascii="Times New Roman" w:hAnsi="Times New Roman" w:hint="eastAsia"/>
          <w:b/>
          <w:bCs/>
          <w:sz w:val="24"/>
          <w:szCs w:val="28"/>
        </w:rPr>
        <w:t>Statistical Analysis:</w:t>
      </w:r>
    </w:p>
    <w:p w14:paraId="121EB9CB" w14:textId="0620BD17" w:rsidR="00E106E5" w:rsidRPr="00270F71" w:rsidRDefault="00977838"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L</w:t>
      </w:r>
      <w:r w:rsidR="00E106E5" w:rsidRPr="00270F71">
        <w:rPr>
          <w:rFonts w:ascii="Times New Roman" w:hAnsi="Times New Roman" w:hint="eastAsia"/>
          <w:sz w:val="24"/>
          <w:szCs w:val="28"/>
        </w:rPr>
        <w:t xml:space="preserve">inear regression models were used to assess associations between spicy food preference, depressive symptoms, and cognitive function. </w:t>
      </w:r>
      <w:r w:rsidRPr="00270F71">
        <w:rPr>
          <w:rFonts w:ascii="Times New Roman" w:hAnsi="Times New Roman" w:hint="eastAsia"/>
          <w:sz w:val="24"/>
          <w:szCs w:val="28"/>
        </w:rPr>
        <w:t>Models were adjusted for basic demographics</w:t>
      </w:r>
      <w:r w:rsidR="00BB5AD6" w:rsidRPr="00270F71">
        <w:rPr>
          <w:rFonts w:ascii="Times New Roman" w:hAnsi="Times New Roman" w:hint="eastAsia"/>
          <w:sz w:val="24"/>
          <w:szCs w:val="28"/>
        </w:rPr>
        <w:t xml:space="preserve"> (sex, age, education)</w:t>
      </w:r>
      <w:r w:rsidRPr="00270F71">
        <w:rPr>
          <w:rFonts w:ascii="Times New Roman" w:hAnsi="Times New Roman" w:hint="eastAsia"/>
          <w:sz w:val="24"/>
          <w:szCs w:val="28"/>
        </w:rPr>
        <w:t>, lifestyle factors</w:t>
      </w:r>
      <w:r w:rsidR="00BB5AD6" w:rsidRPr="00270F71">
        <w:rPr>
          <w:rFonts w:ascii="Times New Roman" w:hAnsi="Times New Roman" w:hint="eastAsia"/>
          <w:sz w:val="24"/>
          <w:szCs w:val="28"/>
        </w:rPr>
        <w:t xml:space="preserve"> (BMI, smoking, drinking, physically active, healthy dietary habits)</w:t>
      </w:r>
      <w:r w:rsidRPr="00270F71">
        <w:rPr>
          <w:rFonts w:ascii="Times New Roman" w:hAnsi="Times New Roman" w:hint="eastAsia"/>
          <w:sz w:val="24"/>
          <w:szCs w:val="28"/>
        </w:rPr>
        <w:t xml:space="preserve"> and chronic diseases</w:t>
      </w:r>
      <w:r w:rsidR="00BB5AD6" w:rsidRPr="00270F71">
        <w:rPr>
          <w:rFonts w:ascii="Times New Roman" w:hAnsi="Times New Roman" w:hint="eastAsia"/>
          <w:sz w:val="24"/>
          <w:szCs w:val="28"/>
        </w:rPr>
        <w:t xml:space="preserve"> (hypertension, diabetes, coronary heart disease, and cancer)</w:t>
      </w:r>
      <w:r w:rsidR="00E106E5" w:rsidRPr="00270F71">
        <w:rPr>
          <w:rFonts w:ascii="Times New Roman" w:hAnsi="Times New Roman" w:hint="eastAsia"/>
          <w:sz w:val="24"/>
          <w:szCs w:val="28"/>
        </w:rPr>
        <w:t>. Causal mediation analysis was conducted to estimate the mediating effects of depressive symptoms in the relationship between spicy food preference and cognitive function</w:t>
      </w:r>
      <w:r w:rsidR="00BB5AD6" w:rsidRPr="00270F71">
        <w:rPr>
          <w:rFonts w:ascii="Times New Roman" w:hAnsi="Times New Roman"/>
          <w:sz w:val="24"/>
          <w:szCs w:val="28"/>
        </w:rPr>
        <w:fldChar w:fldCharType="begin"/>
      </w:r>
      <w:r w:rsidR="00BB5AD6" w:rsidRPr="00270F71">
        <w:rPr>
          <w:rFonts w:ascii="Times New Roman" w:hAnsi="Times New Roman" w:hint="eastAsia"/>
          <w:sz w:val="24"/>
          <w:szCs w:val="28"/>
        </w:rPr>
        <w:instrText xml:space="preserve"> ADDIN ZOTERO_ITEM CSL_CITATION {"citationID":"sIvN9OQa","properties":{"formattedCitation":"\\super [14]\\nosupersub{}","plainCitation":"[14]","noteIndex":0},"citationItems":[{"id":3739,"uris":["http://zotero.org/users/9760063/items/MLVF2Z9P"],"itemData":{"id":3739,"type":"article-journal","abstract":"In this paper, we describe the R package mediation for conducting causal mediation analysis in applied empirical research. In many scientific disciplines, the goal of researchers is not only estimating causal effects of a treatment but also understanding the process in which the treatment causally affects the outcome. Causal mediation analysis is frequently used to assess potential causal mechanisms. The mediation package implements a comprehensive suite of statistical tools for conducting such an analysis. The package is organized into two distinct approaches. Using the model-based approach, researchers can estimate causal mediation effects and conduct sensitivity analysis under the standard research design. Furthermore, the design-based approach provides several analysis tools that are applicable under different experimental designs. This approach requires weaker assumptions than the model-based approach. We also implement a statistical method for dealing with multiple (causally dependent) mediators, which are often encountered in practice. Finally, the package also offers a methodology for assessing causal mediation in the presence of treatment noncompliance, a common problem in randomized trials.","container-title":"Journal of Statistical Software","DOI":"10.18637/jss.v059.i05","ISSN":"1548-7660","language":"en","license":"Copyright (c) 2012 Dustin Tingley, Teppei Yamamoto, Kentaro Hirose, Luke Keele, Kosuke Imai","page":"1-38","source":"www.jstatsoft.org","title":"Mediation: R package for causal mediation analysis","title-short":"mediation","URL":"https://doi.org/10.18637/jss.v059.i05","volume":"59","author":[{"family":"Tingley","given":"Dustin"},{"family":"Yamamoto","given":"Teppei"},{"family":"Hirose","given":"Kentaro"},{"family":"Keele","given":"Luke"},{"family":"Imai","given":"Kosuke"}],"accessed":{"date-parts":[["2024",6,22]]},"issued":{"date-parts":[["2014",9,2]]}}}],"schema":"https://github.com/citation-style-language/schema/raw/master/csl-citation.json"} </w:instrText>
      </w:r>
      <w:r w:rsidR="00BB5AD6" w:rsidRPr="00270F71">
        <w:rPr>
          <w:rFonts w:ascii="Times New Roman" w:hAnsi="Times New Roman"/>
          <w:sz w:val="24"/>
          <w:szCs w:val="28"/>
        </w:rPr>
        <w:fldChar w:fldCharType="separate"/>
      </w:r>
      <w:r w:rsidR="00BB5AD6" w:rsidRPr="00270F71">
        <w:rPr>
          <w:rFonts w:ascii="Times New Roman" w:hAnsi="Times New Roman"/>
          <w:sz w:val="24"/>
          <w:szCs w:val="28"/>
        </w:rPr>
        <w:t>[14]</w:t>
      </w:r>
      <w:r w:rsidR="00BB5AD6" w:rsidRPr="00270F71">
        <w:rPr>
          <w:rFonts w:ascii="Times New Roman" w:hAnsi="Times New Roman"/>
          <w:sz w:val="24"/>
          <w:szCs w:val="28"/>
        </w:rPr>
        <w:fldChar w:fldCharType="end"/>
      </w:r>
      <w:r w:rsidR="00E106E5" w:rsidRPr="00270F71">
        <w:rPr>
          <w:rFonts w:ascii="Times New Roman" w:hAnsi="Times New Roman" w:hint="eastAsia"/>
          <w:sz w:val="24"/>
          <w:szCs w:val="28"/>
        </w:rPr>
        <w:t>.</w:t>
      </w:r>
    </w:p>
    <w:p w14:paraId="252EFDBE" w14:textId="77777777" w:rsidR="00E106E5" w:rsidRPr="00270F71" w:rsidRDefault="00E106E5" w:rsidP="00270F71">
      <w:pPr>
        <w:spacing w:beforeLines="50" w:before="120" w:after="0" w:line="240" w:lineRule="auto"/>
        <w:rPr>
          <w:rFonts w:ascii="Times New Roman" w:hAnsi="Times New Roman"/>
          <w:b/>
          <w:bCs/>
          <w:sz w:val="24"/>
          <w:szCs w:val="28"/>
        </w:rPr>
      </w:pPr>
    </w:p>
    <w:p w14:paraId="00E020D8" w14:textId="69CC361C" w:rsidR="00C40F88" w:rsidRPr="00270F71" w:rsidRDefault="00C40F88" w:rsidP="00270F71">
      <w:pPr>
        <w:spacing w:beforeLines="50" w:before="120" w:after="0" w:line="240" w:lineRule="auto"/>
        <w:rPr>
          <w:rFonts w:ascii="Times New Roman" w:hAnsi="Times New Roman"/>
          <w:b/>
          <w:bCs/>
          <w:sz w:val="24"/>
          <w:szCs w:val="28"/>
        </w:rPr>
      </w:pPr>
      <w:r w:rsidRPr="00270F71">
        <w:rPr>
          <w:rFonts w:ascii="Times New Roman" w:hAnsi="Times New Roman" w:hint="eastAsia"/>
          <w:b/>
          <w:bCs/>
          <w:sz w:val="24"/>
          <w:szCs w:val="28"/>
        </w:rPr>
        <w:t>Results:</w:t>
      </w:r>
    </w:p>
    <w:p w14:paraId="51F741C3" w14:textId="464544FA" w:rsidR="00C40F88" w:rsidRPr="00270F71" w:rsidRDefault="00C40F88"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 xml:space="preserve">In the WCEPHC study, 1961 participants (mean age 70.08 </w:t>
      </w:r>
      <w:r w:rsidRPr="00270F71">
        <w:rPr>
          <w:rFonts w:ascii="Times New Roman" w:hAnsi="Times New Roman" w:hint="eastAsia"/>
          <w:sz w:val="24"/>
          <w:szCs w:val="28"/>
        </w:rPr>
        <w:t>±</w:t>
      </w:r>
      <w:r w:rsidRPr="00270F71">
        <w:rPr>
          <w:rFonts w:ascii="Times New Roman" w:hAnsi="Times New Roman" w:hint="eastAsia"/>
          <w:sz w:val="24"/>
          <w:szCs w:val="28"/>
        </w:rPr>
        <w:t xml:space="preserve"> 5.41, 54.5% female) were analyzed for their preference for spicy food. Among them, 33.2% reported no or low preference, 40.1% had a moderate preference, and 5.6% had a high preference. Participants preferring spicy food tended to be younger, male, and more likely to smoke </w:t>
      </w:r>
      <w:r w:rsidRPr="00270F71">
        <w:rPr>
          <w:rFonts w:ascii="Times New Roman" w:hAnsi="Times New Roman" w:hint="eastAsia"/>
          <w:sz w:val="24"/>
          <w:szCs w:val="28"/>
        </w:rPr>
        <w:lastRenderedPageBreak/>
        <w:t xml:space="preserve">and drink. In the UK Biobank cohort of 71,519 participants (mean age 71.26 </w:t>
      </w:r>
      <w:r w:rsidRPr="00270F71">
        <w:rPr>
          <w:rFonts w:ascii="Times New Roman" w:hAnsi="Times New Roman" w:hint="eastAsia"/>
          <w:sz w:val="24"/>
          <w:szCs w:val="28"/>
        </w:rPr>
        <w:t>±</w:t>
      </w:r>
      <w:r w:rsidRPr="00270F71">
        <w:rPr>
          <w:rFonts w:ascii="Times New Roman" w:hAnsi="Times New Roman" w:hint="eastAsia"/>
          <w:sz w:val="24"/>
          <w:szCs w:val="28"/>
        </w:rPr>
        <w:t xml:space="preserve"> 6.08, 55.3% female),</w:t>
      </w:r>
      <w:r w:rsidR="0015270C" w:rsidRPr="00270F71">
        <w:rPr>
          <w:rFonts w:ascii="Times New Roman" w:hAnsi="Times New Roman" w:hint="eastAsia"/>
          <w:sz w:val="24"/>
          <w:szCs w:val="28"/>
        </w:rPr>
        <w:t xml:space="preserve"> </w:t>
      </w:r>
      <w:r w:rsidR="0015270C" w:rsidRPr="00270F71">
        <w:rPr>
          <w:rFonts w:ascii="Times New Roman" w:hAnsi="Times New Roman"/>
          <w:sz w:val="24"/>
          <w:szCs w:val="28"/>
        </w:rPr>
        <w:t>6.1% dislik</w:t>
      </w:r>
      <w:r w:rsidR="0015270C" w:rsidRPr="00270F71">
        <w:rPr>
          <w:rFonts w:ascii="Times New Roman" w:hAnsi="Times New Roman" w:hint="eastAsia"/>
          <w:sz w:val="24"/>
          <w:szCs w:val="28"/>
        </w:rPr>
        <w:t>ed</w:t>
      </w:r>
      <w:r w:rsidR="0015270C" w:rsidRPr="00270F71">
        <w:rPr>
          <w:rFonts w:ascii="Times New Roman" w:hAnsi="Times New Roman"/>
          <w:sz w:val="24"/>
          <w:szCs w:val="28"/>
        </w:rPr>
        <w:t xml:space="preserve"> spicy food</w:t>
      </w:r>
      <w:r w:rsidR="0015270C" w:rsidRPr="00270F71">
        <w:rPr>
          <w:rFonts w:ascii="Times New Roman" w:hAnsi="Times New Roman" w:hint="eastAsia"/>
          <w:sz w:val="24"/>
          <w:szCs w:val="28"/>
        </w:rPr>
        <w:t>,</w:t>
      </w:r>
      <w:r w:rsidRPr="00270F71">
        <w:rPr>
          <w:rFonts w:ascii="Times New Roman" w:hAnsi="Times New Roman" w:hint="eastAsia"/>
          <w:sz w:val="24"/>
          <w:szCs w:val="28"/>
        </w:rPr>
        <w:t xml:space="preserve"> 38.4% had a moderate preference, and 30.1% had a high preference, with similar demographic patterns</w:t>
      </w:r>
      <w:r w:rsidR="0015270C" w:rsidRPr="00270F71">
        <w:rPr>
          <w:rFonts w:ascii="Times New Roman" w:hAnsi="Times New Roman" w:hint="eastAsia"/>
          <w:sz w:val="24"/>
          <w:szCs w:val="28"/>
        </w:rPr>
        <w:t xml:space="preserve"> with WCEPHC</w:t>
      </w:r>
      <w:r w:rsidRPr="00270F71">
        <w:rPr>
          <w:rFonts w:ascii="Times New Roman" w:hAnsi="Times New Roman" w:hint="eastAsia"/>
          <w:sz w:val="24"/>
          <w:szCs w:val="28"/>
        </w:rPr>
        <w:t>.</w:t>
      </w:r>
    </w:p>
    <w:p w14:paraId="460FBE9A" w14:textId="30447E55" w:rsidR="0015270C" w:rsidRPr="00270F71" w:rsidRDefault="00C40F88"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 xml:space="preserve">Both studies found a significant association between higher preference for spicy food and better cognitive function. In the WCEPHC, </w:t>
      </w:r>
      <w:r w:rsidR="0015270C" w:rsidRPr="00270F71">
        <w:rPr>
          <w:rFonts w:ascii="Times New Roman" w:hAnsi="Times New Roman" w:hint="eastAsia"/>
          <w:sz w:val="24"/>
          <w:szCs w:val="28"/>
        </w:rPr>
        <w:t>a hig</w:t>
      </w:r>
      <w:r w:rsidR="0015270C" w:rsidRPr="00270F71">
        <w:rPr>
          <w:rFonts w:ascii="Times New Roman" w:hAnsi="Times New Roman"/>
          <w:sz w:val="24"/>
          <w:szCs w:val="28"/>
        </w:rPr>
        <w:t>her preference for spicy food was associated with better cognitive performance (β=0.08</w:t>
      </w:r>
      <w:r w:rsidR="0015270C" w:rsidRPr="00270F71">
        <w:rPr>
          <w:rFonts w:ascii="Times New Roman" w:hAnsi="Times New Roman" w:hint="eastAsia"/>
          <w:sz w:val="24"/>
          <w:szCs w:val="28"/>
        </w:rPr>
        <w:t xml:space="preserve">5, 95% CI = 0.008, 0.162). When categorized preference of spicy food into 4 groups, </w:t>
      </w:r>
    </w:p>
    <w:p w14:paraId="1DECAFDE" w14:textId="722E79B5" w:rsidR="00C40F88" w:rsidRPr="00270F71" w:rsidRDefault="00C40F88"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participants w</w:t>
      </w:r>
      <w:r w:rsidRPr="00270F71">
        <w:rPr>
          <w:rFonts w:ascii="Times New Roman" w:hAnsi="Times New Roman"/>
          <w:sz w:val="24"/>
          <w:szCs w:val="28"/>
        </w:rPr>
        <w:t>ith a moderate preference had a 0.519-point higher MMSE score (95% CI: 0.063, 0.975) compared to those who disliked spicy food. In the UK Biobank, a higher spicy food preference score was linked to an improved fluid intelligence score (β=0.004, 95% CI: 0.002, 0.006). Participants with low, moderate, and high preferences exhibited β values of 0.063, 0.120, and 0.117, respectively, indicating consistent protective effects across preference levels</w:t>
      </w:r>
      <w:r w:rsidR="00437E62">
        <w:rPr>
          <w:rFonts w:ascii="Times New Roman" w:hAnsi="Times New Roman" w:hint="eastAsia"/>
          <w:sz w:val="24"/>
          <w:szCs w:val="28"/>
        </w:rPr>
        <w:t xml:space="preserve"> </w:t>
      </w:r>
      <w:r w:rsidR="00437E62">
        <w:rPr>
          <w:rFonts w:ascii="Times New Roman" w:hAnsi="Times New Roman" w:hint="eastAsia"/>
          <w:sz w:val="24"/>
          <w:szCs w:val="28"/>
        </w:rPr>
        <w:t>(</w:t>
      </w:r>
      <w:r w:rsidR="00437E62" w:rsidRPr="00270F71">
        <w:rPr>
          <w:rFonts w:ascii="Times New Roman" w:hAnsi="Times New Roman" w:hint="eastAsia"/>
          <w:b/>
          <w:bCs/>
          <w:sz w:val="24"/>
          <w:szCs w:val="28"/>
        </w:rPr>
        <w:t>Figure 1</w:t>
      </w:r>
      <w:r w:rsidR="00437E62">
        <w:rPr>
          <w:rFonts w:ascii="Times New Roman" w:hAnsi="Times New Roman" w:hint="eastAsia"/>
          <w:b/>
          <w:bCs/>
          <w:sz w:val="24"/>
          <w:szCs w:val="28"/>
        </w:rPr>
        <w:t>A</w:t>
      </w:r>
      <w:r w:rsidR="00437E62">
        <w:rPr>
          <w:rFonts w:ascii="Times New Roman" w:hAnsi="Times New Roman" w:hint="eastAsia"/>
          <w:sz w:val="24"/>
          <w:szCs w:val="28"/>
        </w:rPr>
        <w:t>)</w:t>
      </w:r>
      <w:r w:rsidRPr="00270F71">
        <w:rPr>
          <w:rFonts w:ascii="Times New Roman" w:hAnsi="Times New Roman"/>
          <w:sz w:val="24"/>
          <w:szCs w:val="28"/>
        </w:rPr>
        <w:t>.</w:t>
      </w:r>
    </w:p>
    <w:p w14:paraId="1C2397B7" w14:textId="71F6061C" w:rsidR="00C40F88" w:rsidRPr="00270F71" w:rsidRDefault="00437E62" w:rsidP="00270F71">
      <w:pPr>
        <w:spacing w:beforeLines="50" w:before="120" w:after="0" w:line="240" w:lineRule="auto"/>
        <w:rPr>
          <w:rFonts w:ascii="Times New Roman" w:hAnsi="Times New Roman"/>
          <w:sz w:val="24"/>
          <w:szCs w:val="28"/>
        </w:rPr>
      </w:pPr>
      <w:r w:rsidRPr="00437E62">
        <w:rPr>
          <w:rFonts w:ascii="Times New Roman" w:hAnsi="Times New Roman"/>
          <w:b/>
          <w:bCs/>
          <w:noProof/>
          <w:sz w:val="24"/>
          <w:szCs w:val="28"/>
        </w:rPr>
        <mc:AlternateContent>
          <mc:Choice Requires="wps">
            <w:drawing>
              <wp:anchor distT="45720" distB="45720" distL="114300" distR="114300" simplePos="0" relativeHeight="251659264" behindDoc="0" locked="0" layoutInCell="1" allowOverlap="1" wp14:anchorId="795F890C" wp14:editId="25E642C6">
                <wp:simplePos x="0" y="0"/>
                <wp:positionH relativeFrom="column">
                  <wp:posOffset>-803910</wp:posOffset>
                </wp:positionH>
                <wp:positionV relativeFrom="paragraph">
                  <wp:posOffset>1308735</wp:posOffset>
                </wp:positionV>
                <wp:extent cx="6608445" cy="1404620"/>
                <wp:effectExtent l="0" t="0" r="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8445" cy="1404620"/>
                        </a:xfrm>
                        <a:prstGeom prst="rect">
                          <a:avLst/>
                        </a:prstGeom>
                        <a:noFill/>
                        <a:ln w="9525">
                          <a:noFill/>
                          <a:miter lim="800000"/>
                          <a:headEnd/>
                          <a:tailEnd/>
                        </a:ln>
                      </wps:spPr>
                      <wps:txbx>
                        <w:txbxContent>
                          <w:p w14:paraId="4A492B6B" w14:textId="63900DFC" w:rsidR="00437E62" w:rsidRDefault="00437E62">
                            <w:pPr>
                              <w:rPr>
                                <w:rFonts w:hint="eastAsia"/>
                              </w:rPr>
                            </w:pPr>
                            <w:r>
                              <w:rPr>
                                <w:rFonts w:ascii="Times New Roman" w:hAnsi="Times New Roman"/>
                                <w:b/>
                                <w:bCs/>
                                <w:noProof/>
                                <w:sz w:val="24"/>
                                <w:szCs w:val="28"/>
                              </w:rPr>
                              <w:drawing>
                                <wp:inline distT="0" distB="0" distL="0" distR="0" wp14:anchorId="35ACCF74" wp14:editId="7310B8D7">
                                  <wp:extent cx="6416675" cy="3686909"/>
                                  <wp:effectExtent l="0" t="0" r="3175" b="8890"/>
                                  <wp:docPr id="20327909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16675" cy="3686909"/>
                                          </a:xfrm>
                                          <a:prstGeom prst="rect">
                                            <a:avLst/>
                                          </a:prstGeom>
                                          <a:noFill/>
                                        </pic:spPr>
                                      </pic:pic>
                                    </a:graphicData>
                                  </a:graphic>
                                </wp:inline>
                              </w:drawing>
                            </w:r>
                          </w:p>
                          <w:p w14:paraId="21C0C3B4" w14:textId="29A0EC44" w:rsidR="00437E62" w:rsidRPr="00437E62" w:rsidRDefault="00437E62" w:rsidP="00437E62">
                            <w:pPr>
                              <w:spacing w:beforeLines="50" w:before="120" w:after="0" w:line="240" w:lineRule="auto"/>
                              <w:jc w:val="center"/>
                              <w:rPr>
                                <w:rFonts w:ascii="Times New Roman" w:hAnsi="Times New Roman" w:cs="Times New Roman"/>
                                <w:sz w:val="21"/>
                                <w:szCs w:val="21"/>
                              </w:rPr>
                            </w:pPr>
                            <w:r w:rsidRPr="00437E62">
                              <w:rPr>
                                <w:rFonts w:ascii="Times New Roman" w:hAnsi="Times New Roman" w:cs="Times New Roman"/>
                                <w:sz w:val="21"/>
                                <w:szCs w:val="21"/>
                              </w:rPr>
                              <w:t xml:space="preserve">Figure 1 The associations between spicy food preference and cognitive function in WCEPH and UK Biobank and the mediation effects of </w:t>
                            </w:r>
                            <w:r w:rsidRPr="00437E62">
                              <w:rPr>
                                <w:rFonts w:ascii="Times New Roman" w:hAnsi="Times New Roman" w:cs="Times New Roman"/>
                                <w:b/>
                                <w:bCs/>
                                <w:color w:val="000000"/>
                                <w:sz w:val="21"/>
                                <w:szCs w:val="21"/>
                              </w:rPr>
                              <w:t>depressive symptoms</w:t>
                            </w:r>
                            <w:r w:rsidRPr="00437E62">
                              <w:rPr>
                                <w:rFonts w:ascii="Times New Roman" w:hAnsi="Times New Roman" w:cs="Times New Roman"/>
                                <w:b/>
                                <w:bCs/>
                                <w:color w:val="000000"/>
                                <w:sz w:val="21"/>
                                <w:szCs w:val="21"/>
                              </w:rPr>
                              <w:t xml:space="preserve"> in these associations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5F890C" id="_x0000_t202" coordsize="21600,21600" o:spt="202" path="m,l,21600r21600,l21600,xe">
                <v:stroke joinstyle="miter"/>
                <v:path gradientshapeok="t" o:connecttype="rect"/>
              </v:shapetype>
              <v:shape id="文本框 2" o:spid="_x0000_s1026" type="#_x0000_t202" style="position:absolute;left:0;text-align:left;margin-left:-63.3pt;margin-top:103.05pt;width:520.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" filled="f" stroked="f">
                <v:textbox style="mso-fit-shape-to-text:t">
                  <w:txbxContent>
                    <w:p w14:paraId="4A492B6B" w14:textId="63900DFC" w:rsidR="00437E62" w:rsidRDefault="00437E62">
                      <w:pPr>
                        <w:rPr>
                          <w:rFonts w:hint="eastAsia"/>
                        </w:rPr>
                      </w:pPr>
                      <w:r>
                        <w:rPr>
                          <w:rFonts w:ascii="Times New Roman" w:hAnsi="Times New Roman"/>
                          <w:b/>
                          <w:bCs/>
                          <w:noProof/>
                          <w:sz w:val="24"/>
                          <w:szCs w:val="28"/>
                        </w:rPr>
                        <w:drawing>
                          <wp:inline distT="0" distB="0" distL="0" distR="0" wp14:anchorId="35ACCF74" wp14:editId="7310B8D7">
                            <wp:extent cx="6416675" cy="3686909"/>
                            <wp:effectExtent l="0" t="0" r="3175" b="8890"/>
                            <wp:docPr id="20327909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16675" cy="3686909"/>
                                    </a:xfrm>
                                    <a:prstGeom prst="rect">
                                      <a:avLst/>
                                    </a:prstGeom>
                                    <a:noFill/>
                                  </pic:spPr>
                                </pic:pic>
                              </a:graphicData>
                            </a:graphic>
                          </wp:inline>
                        </w:drawing>
                      </w:r>
                    </w:p>
                    <w:p w14:paraId="21C0C3B4" w14:textId="29A0EC44" w:rsidR="00437E62" w:rsidRPr="00437E62" w:rsidRDefault="00437E62" w:rsidP="00437E62">
                      <w:pPr>
                        <w:spacing w:beforeLines="50" w:before="120" w:after="0" w:line="240" w:lineRule="auto"/>
                        <w:jc w:val="center"/>
                        <w:rPr>
                          <w:rFonts w:ascii="Times New Roman" w:hAnsi="Times New Roman" w:cs="Times New Roman"/>
                          <w:sz w:val="21"/>
                          <w:szCs w:val="21"/>
                        </w:rPr>
                      </w:pPr>
                      <w:r w:rsidRPr="00437E62">
                        <w:rPr>
                          <w:rFonts w:ascii="Times New Roman" w:hAnsi="Times New Roman" w:cs="Times New Roman"/>
                          <w:sz w:val="21"/>
                          <w:szCs w:val="21"/>
                        </w:rPr>
                        <w:t xml:space="preserve">Figure 1 The associations between spicy food preference and cognitive function in WCEPH and UK Biobank and the mediation effects of </w:t>
                      </w:r>
                      <w:r w:rsidRPr="00437E62">
                        <w:rPr>
                          <w:rFonts w:ascii="Times New Roman" w:hAnsi="Times New Roman" w:cs="Times New Roman"/>
                          <w:b/>
                          <w:bCs/>
                          <w:color w:val="000000"/>
                          <w:sz w:val="21"/>
                          <w:szCs w:val="21"/>
                        </w:rPr>
                        <w:t>depressive symptoms</w:t>
                      </w:r>
                      <w:r w:rsidRPr="00437E62">
                        <w:rPr>
                          <w:rFonts w:ascii="Times New Roman" w:hAnsi="Times New Roman" w:cs="Times New Roman"/>
                          <w:b/>
                          <w:bCs/>
                          <w:color w:val="000000"/>
                          <w:sz w:val="21"/>
                          <w:szCs w:val="21"/>
                        </w:rPr>
                        <w:t xml:space="preserve"> in these associations</w:t>
                      </w:r>
                    </w:p>
                  </w:txbxContent>
                </v:textbox>
                <w10:wrap type="square"/>
              </v:shape>
            </w:pict>
          </mc:Fallback>
        </mc:AlternateContent>
      </w:r>
      <w:r w:rsidR="00C40F88" w:rsidRPr="00270F71">
        <w:rPr>
          <w:rFonts w:ascii="Times New Roman" w:hAnsi="Times New Roman"/>
          <w:sz w:val="24"/>
          <w:szCs w:val="28"/>
        </w:rPr>
        <w:t>The protective effect of spicy food preference on cognitive function was partly mediated by lower levels of depression. In WCEPHC, a higher preference was associated with reduced depressive symptoms (β=−0.043, 95% CI: −0.079, −0.008), accounting for 8.10% of the total cognitive benefit. Similarly, in the UK Biobank, the mediation effect was smaller but significant (β=−0.013, 95% CI: −0.016, −0.009), explaining 2.68% of the total effect</w:t>
      </w:r>
      <w:r w:rsidR="00270F71">
        <w:rPr>
          <w:rFonts w:ascii="Times New Roman" w:hAnsi="Times New Roman" w:hint="eastAsia"/>
          <w:sz w:val="24"/>
          <w:szCs w:val="28"/>
        </w:rPr>
        <w:t xml:space="preserve"> (</w:t>
      </w:r>
      <w:r w:rsidR="00270F71" w:rsidRPr="00270F71">
        <w:rPr>
          <w:rFonts w:ascii="Times New Roman" w:hAnsi="Times New Roman" w:hint="eastAsia"/>
          <w:b/>
          <w:bCs/>
          <w:sz w:val="24"/>
          <w:szCs w:val="28"/>
        </w:rPr>
        <w:t>Figure 1</w:t>
      </w:r>
      <w:r>
        <w:rPr>
          <w:rFonts w:ascii="Times New Roman" w:hAnsi="Times New Roman" w:hint="eastAsia"/>
          <w:b/>
          <w:bCs/>
          <w:sz w:val="24"/>
          <w:szCs w:val="28"/>
        </w:rPr>
        <w:t>B</w:t>
      </w:r>
      <w:r w:rsidR="00270F71">
        <w:rPr>
          <w:rFonts w:ascii="Times New Roman" w:hAnsi="Times New Roman" w:hint="eastAsia"/>
          <w:sz w:val="24"/>
          <w:szCs w:val="28"/>
        </w:rPr>
        <w:t>)</w:t>
      </w:r>
      <w:r w:rsidR="00C40F88" w:rsidRPr="00270F71">
        <w:rPr>
          <w:rFonts w:ascii="Times New Roman" w:hAnsi="Times New Roman"/>
          <w:sz w:val="24"/>
          <w:szCs w:val="28"/>
        </w:rPr>
        <w:t xml:space="preserve">. </w:t>
      </w:r>
    </w:p>
    <w:p w14:paraId="0410557A" w14:textId="7DA0E95C" w:rsidR="00C40F88" w:rsidRPr="00270F71" w:rsidRDefault="00C40F88" w:rsidP="00270F71">
      <w:pPr>
        <w:spacing w:beforeLines="50" w:before="120" w:after="0" w:line="240" w:lineRule="auto"/>
        <w:rPr>
          <w:rFonts w:ascii="Times New Roman" w:hAnsi="Times New Roman"/>
          <w:b/>
          <w:bCs/>
          <w:sz w:val="24"/>
          <w:szCs w:val="28"/>
        </w:rPr>
      </w:pPr>
    </w:p>
    <w:p w14:paraId="4A186E00" w14:textId="5B18B83B" w:rsidR="00E31A1A" w:rsidRPr="00270F71" w:rsidRDefault="00101539" w:rsidP="00270F71">
      <w:pPr>
        <w:spacing w:beforeLines="50" w:before="120" w:after="0" w:line="240" w:lineRule="auto"/>
        <w:rPr>
          <w:rFonts w:ascii="Times New Roman" w:hAnsi="Times New Roman"/>
          <w:b/>
          <w:bCs/>
          <w:sz w:val="24"/>
          <w:szCs w:val="28"/>
        </w:rPr>
      </w:pPr>
      <w:r w:rsidRPr="00270F71">
        <w:rPr>
          <w:rFonts w:ascii="Times New Roman" w:hAnsi="Times New Roman"/>
          <w:b/>
          <w:bCs/>
          <w:sz w:val="24"/>
          <w:szCs w:val="28"/>
        </w:rPr>
        <w:t>Conclusion:</w:t>
      </w:r>
    </w:p>
    <w:p w14:paraId="4CFF9C80" w14:textId="00AD75E9" w:rsidR="00BD665B" w:rsidRPr="00270F71" w:rsidRDefault="00BD665B"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 xml:space="preserve">Our study, analyzing data from the WCEPHC and UKB, found that a preference for </w:t>
      </w:r>
      <w:r w:rsidRPr="00270F71">
        <w:rPr>
          <w:rFonts w:ascii="Times New Roman" w:hAnsi="Times New Roman" w:hint="eastAsia"/>
          <w:sz w:val="24"/>
          <w:szCs w:val="28"/>
        </w:rPr>
        <w:lastRenderedPageBreak/>
        <w:t>spicy food is associated with protective effects on both cognitive function and depressive symptoms. These effects were consistent across both cohorts, with mediation analysis revealing that lower depression levels partially mediate the cognitive benefits of spicy food preference.</w:t>
      </w:r>
    </w:p>
    <w:p w14:paraId="7426B224" w14:textId="5837C8D8" w:rsidR="00BD665B" w:rsidRPr="00270F71" w:rsidRDefault="00BD665B"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Previous research has provided mixed results on the cognitive effects of spicy food. While some studies suggest that capsaicin-rich diets enhance cognitive function</w:t>
      </w:r>
      <w:r w:rsidR="0015270C" w:rsidRPr="00270F71">
        <w:rPr>
          <w:rFonts w:ascii="Times New Roman" w:hAnsi="Times New Roman"/>
          <w:sz w:val="24"/>
          <w:szCs w:val="28"/>
        </w:rPr>
        <w:fldChar w:fldCharType="begin"/>
      </w:r>
      <w:r w:rsidR="0015270C" w:rsidRPr="00270F71">
        <w:rPr>
          <w:rFonts w:ascii="Times New Roman" w:hAnsi="Times New Roman" w:hint="eastAsia"/>
          <w:sz w:val="24"/>
          <w:szCs w:val="28"/>
        </w:rPr>
        <w:instrText xml:space="preserve"> ADDIN ZOTERO_ITEM CSL_CITATION {"citationID":"0dhC8VGk","properties":{"formattedCitation":"\\super [15]\\nosupersub{}","plainCitation":"[15]","noteIndex":0},"citationItems":[{"id":3659,"uris":["http://zotero.org/users/9760063/items/J8MJ3YIF"],"itemData":{"id":3659,"type":"article-journal","container-title":"Journal of Alzheimer's Disease","DOI":"10.3233/JAD-151079","ISSN":"13872877, 18758908","issue":"3","journalAbbreviation":"JAD","note":"JCR</w:instrText>
      </w:r>
      <w:r w:rsidR="0015270C" w:rsidRPr="00270F71">
        <w:rPr>
          <w:rFonts w:ascii="Times New Roman" w:hAnsi="Times New Roman" w:hint="eastAsia"/>
          <w:sz w:val="24"/>
          <w:szCs w:val="28"/>
        </w:rPr>
        <w:instrText>分区</w:instrText>
      </w:r>
      <w:r w:rsidR="0015270C" w:rsidRPr="00270F71">
        <w:rPr>
          <w:rFonts w:ascii="Times New Roman" w:hAnsi="Times New Roman" w:hint="eastAsia"/>
          <w:sz w:val="24"/>
          <w:szCs w:val="28"/>
        </w:rPr>
        <w:instrText>: Q2\n</w:instrText>
      </w:r>
      <w:r w:rsidR="0015270C" w:rsidRPr="00270F71">
        <w:rPr>
          <w:rFonts w:ascii="Times New Roman" w:hAnsi="Times New Roman" w:hint="eastAsia"/>
          <w:sz w:val="24"/>
          <w:szCs w:val="28"/>
        </w:rPr>
        <w:instrText>中科院分区升级版</w:instrText>
      </w:r>
      <w:r w:rsidR="0015270C" w:rsidRPr="00270F71">
        <w:rPr>
          <w:rFonts w:ascii="Times New Roman" w:hAnsi="Times New Roman" w:hint="eastAsia"/>
          <w:sz w:val="24"/>
          <w:szCs w:val="28"/>
        </w:rPr>
        <w:instrText xml:space="preserve">: </w:instrText>
      </w:r>
      <w:r w:rsidR="0015270C" w:rsidRPr="00270F71">
        <w:rPr>
          <w:rFonts w:ascii="Times New Roman" w:hAnsi="Times New Roman" w:hint="eastAsia"/>
          <w:sz w:val="24"/>
          <w:szCs w:val="28"/>
        </w:rPr>
        <w:instrText>医学</w:instrText>
      </w:r>
      <w:r w:rsidR="0015270C" w:rsidRPr="00270F71">
        <w:rPr>
          <w:rFonts w:ascii="Times New Roman" w:hAnsi="Times New Roman" w:hint="eastAsia"/>
          <w:sz w:val="24"/>
          <w:szCs w:val="28"/>
        </w:rPr>
        <w:instrText>3</w:instrText>
      </w:r>
      <w:r w:rsidR="0015270C" w:rsidRPr="00270F71">
        <w:rPr>
          <w:rFonts w:ascii="Times New Roman" w:hAnsi="Times New Roman" w:hint="eastAsia"/>
          <w:sz w:val="24"/>
          <w:szCs w:val="28"/>
        </w:rPr>
        <w:instrText>区</w:instrText>
      </w:r>
      <w:r w:rsidR="0015270C" w:rsidRPr="00270F71">
        <w:rPr>
          <w:rFonts w:ascii="Times New Roman" w:hAnsi="Times New Roman" w:hint="eastAsia"/>
          <w:sz w:val="24"/>
          <w:szCs w:val="28"/>
        </w:rPr>
        <w:instrText>\n</w:instrText>
      </w:r>
      <w:r w:rsidR="0015270C" w:rsidRPr="00270F71">
        <w:rPr>
          <w:rFonts w:ascii="Times New Roman" w:hAnsi="Times New Roman" w:hint="eastAsia"/>
          <w:sz w:val="24"/>
          <w:szCs w:val="28"/>
        </w:rPr>
        <w:instrText>影响因子</w:instrText>
      </w:r>
      <w:r w:rsidR="0015270C" w:rsidRPr="00270F71">
        <w:rPr>
          <w:rFonts w:ascii="Times New Roman" w:hAnsi="Times New Roman" w:hint="eastAsia"/>
          <w:sz w:val="24"/>
          <w:szCs w:val="28"/>
        </w:rPr>
        <w:instrText>: 3.4\n5</w:instrText>
      </w:r>
      <w:r w:rsidR="0015270C" w:rsidRPr="00270F71">
        <w:rPr>
          <w:rFonts w:ascii="Times New Roman" w:hAnsi="Times New Roman" w:hint="eastAsia"/>
          <w:sz w:val="24"/>
          <w:szCs w:val="28"/>
        </w:rPr>
        <w:instrText>年影响因子</w:instrText>
      </w:r>
      <w:r w:rsidR="0015270C" w:rsidRPr="00270F71">
        <w:rPr>
          <w:rFonts w:ascii="Times New Roman" w:hAnsi="Times New Roman" w:hint="eastAsia"/>
          <w:sz w:val="24"/>
          <w:szCs w:val="28"/>
        </w:rPr>
        <w:instrText>: 4.2\n</w:instrText>
      </w:r>
      <w:r w:rsidR="0015270C" w:rsidRPr="00270F71">
        <w:rPr>
          <w:rFonts w:ascii="Times New Roman" w:hAnsi="Times New Roman" w:hint="eastAsia"/>
          <w:sz w:val="24"/>
          <w:szCs w:val="28"/>
        </w:rPr>
        <w:instrText>四川大学</w:instrText>
      </w:r>
      <w:r w:rsidR="0015270C" w:rsidRPr="00270F71">
        <w:rPr>
          <w:rFonts w:ascii="Times New Roman" w:hAnsi="Times New Roman" w:hint="eastAsia"/>
          <w:sz w:val="24"/>
          <w:szCs w:val="28"/>
        </w:rPr>
        <w:instrText xml:space="preserve">: </w:instrText>
      </w:r>
      <w:r w:rsidR="0015270C" w:rsidRPr="00270F71">
        <w:rPr>
          <w:rFonts w:ascii="Times New Roman" w:hAnsi="Times New Roman" w:hint="eastAsia"/>
          <w:sz w:val="24"/>
          <w:szCs w:val="28"/>
        </w:rPr>
        <w:instrText>医学</w:instrText>
      </w:r>
      <w:r w:rsidR="0015270C" w:rsidRPr="00270F71">
        <w:rPr>
          <w:rFonts w:ascii="Times New Roman" w:hAnsi="Times New Roman" w:hint="eastAsia"/>
          <w:sz w:val="24"/>
          <w:szCs w:val="28"/>
        </w:rPr>
        <w:instrText>D","page":"1081-1088","source":"DOI.org (Crossref)","title":"The associations between a capsaicin-rich diet and blood amyloid-</w:instrText>
      </w:r>
      <w:r w:rsidR="0015270C" w:rsidRPr="00270F71">
        <w:rPr>
          <w:rFonts w:ascii="Times New Roman" w:hAnsi="Times New Roman" w:hint="eastAsia"/>
          <w:sz w:val="24"/>
          <w:szCs w:val="28"/>
        </w:rPr>
        <w:instrText>β</w:instrText>
      </w:r>
      <w:r w:rsidR="0015270C" w:rsidRPr="00270F71">
        <w:rPr>
          <w:rFonts w:ascii="Times New Roman" w:hAnsi="Times New Roman" w:hint="eastAsia"/>
          <w:sz w:val="24"/>
          <w:szCs w:val="28"/>
        </w:rPr>
        <w:instrText xml:space="preserve"> levels and cognitive function","URL":"https://www.medra.org/servlet/aliasResolver?alias=iospress&amp;doi=10.3233/JAD-151079","volume":"52","author":[{"family":"Liu","given":"Cheng-Hui"},{"family":"Bu","given":"Xian-Le"},{"family":"Wang","given":"Jun"},{"family":"Zhang","given":"Tao"},{"family":"Xiang","given":"Yang"},{"family":"Shen","given":"Lin-Lin"},{"family":"Wang","given":"Qing-Hua"},{"family":"Deng","given":"Bo"},{"family":"Wang","given":"Xin"},{"family":"Zhu","given":"Chi"},{"family":"Yao","given":"Xiu-Qing"},{"family":"Zhang","given":"Meng"},{"family":"Zhou","given":"Hua-Dong"},{"family":"Wang","given":"Yan-Jiang"}],"accessed":{"date-parts":[["2024",6,22]]},"issued":{"date-parts":[["2016",5,23]]}}}],"schema":"https://github.com/citation-style-language/schema/raw/master/csl-citation.json"} </w:instrText>
      </w:r>
      <w:r w:rsidR="0015270C" w:rsidRPr="00270F71">
        <w:rPr>
          <w:rFonts w:ascii="Times New Roman" w:hAnsi="Times New Roman"/>
          <w:sz w:val="24"/>
          <w:szCs w:val="28"/>
        </w:rPr>
        <w:fldChar w:fldCharType="separate"/>
      </w:r>
      <w:r w:rsidR="0015270C" w:rsidRPr="00270F71">
        <w:rPr>
          <w:rFonts w:ascii="Times New Roman" w:hAnsi="Times New Roman"/>
          <w:sz w:val="24"/>
          <w:szCs w:val="28"/>
        </w:rPr>
        <w:t>[15]</w:t>
      </w:r>
      <w:r w:rsidR="0015270C" w:rsidRPr="00270F71">
        <w:rPr>
          <w:rFonts w:ascii="Times New Roman" w:hAnsi="Times New Roman"/>
          <w:sz w:val="24"/>
          <w:szCs w:val="28"/>
        </w:rPr>
        <w:fldChar w:fldCharType="end"/>
      </w:r>
      <w:r w:rsidRPr="00270F71">
        <w:rPr>
          <w:rFonts w:ascii="Times New Roman" w:hAnsi="Times New Roman" w:hint="eastAsia"/>
          <w:sz w:val="24"/>
          <w:szCs w:val="28"/>
        </w:rPr>
        <w:t>, others have linked high chili consumption to cognitive decline</w:t>
      </w:r>
      <w:r w:rsidR="0015270C" w:rsidRPr="00270F71">
        <w:rPr>
          <w:rFonts w:ascii="Times New Roman" w:hAnsi="Times New Roman"/>
          <w:sz w:val="24"/>
          <w:szCs w:val="28"/>
        </w:rPr>
        <w:fldChar w:fldCharType="begin"/>
      </w:r>
      <w:r w:rsidR="0015270C" w:rsidRPr="00270F71">
        <w:rPr>
          <w:rFonts w:ascii="Times New Roman" w:hAnsi="Times New Roman" w:hint="eastAsia"/>
          <w:sz w:val="24"/>
          <w:szCs w:val="28"/>
        </w:rPr>
        <w:instrText xml:space="preserve"> ADDIN ZOTERO_ITEM CSL_CITATION {"citationID":"BtJXgU8E","properties":{"formattedCitation":"\\super [15]\\nosupersub{}","plainCitation":"[15]","noteIndex":0},"citationItems":[{"id":3659,"uris":["http://zotero.org/users/9760063/items/J8MJ3YIF"],"itemData":{"id":3659,"type":"article-journal","container-title":"Journal of Alzheimer's Disease","DOI":"10.3233/JAD-151079","ISSN":"13872877, 18758908","issue":"3","journalAbbreviation":"JAD","note":"JCR</w:instrText>
      </w:r>
      <w:r w:rsidR="0015270C" w:rsidRPr="00270F71">
        <w:rPr>
          <w:rFonts w:ascii="Times New Roman" w:hAnsi="Times New Roman" w:hint="eastAsia"/>
          <w:sz w:val="24"/>
          <w:szCs w:val="28"/>
        </w:rPr>
        <w:instrText>分区</w:instrText>
      </w:r>
      <w:r w:rsidR="0015270C" w:rsidRPr="00270F71">
        <w:rPr>
          <w:rFonts w:ascii="Times New Roman" w:hAnsi="Times New Roman" w:hint="eastAsia"/>
          <w:sz w:val="24"/>
          <w:szCs w:val="28"/>
        </w:rPr>
        <w:instrText>: Q2\n</w:instrText>
      </w:r>
      <w:r w:rsidR="0015270C" w:rsidRPr="00270F71">
        <w:rPr>
          <w:rFonts w:ascii="Times New Roman" w:hAnsi="Times New Roman" w:hint="eastAsia"/>
          <w:sz w:val="24"/>
          <w:szCs w:val="28"/>
        </w:rPr>
        <w:instrText>中科院分区升级版</w:instrText>
      </w:r>
      <w:r w:rsidR="0015270C" w:rsidRPr="00270F71">
        <w:rPr>
          <w:rFonts w:ascii="Times New Roman" w:hAnsi="Times New Roman" w:hint="eastAsia"/>
          <w:sz w:val="24"/>
          <w:szCs w:val="28"/>
        </w:rPr>
        <w:instrText xml:space="preserve">: </w:instrText>
      </w:r>
      <w:r w:rsidR="0015270C" w:rsidRPr="00270F71">
        <w:rPr>
          <w:rFonts w:ascii="Times New Roman" w:hAnsi="Times New Roman" w:hint="eastAsia"/>
          <w:sz w:val="24"/>
          <w:szCs w:val="28"/>
        </w:rPr>
        <w:instrText>医学</w:instrText>
      </w:r>
      <w:r w:rsidR="0015270C" w:rsidRPr="00270F71">
        <w:rPr>
          <w:rFonts w:ascii="Times New Roman" w:hAnsi="Times New Roman" w:hint="eastAsia"/>
          <w:sz w:val="24"/>
          <w:szCs w:val="28"/>
        </w:rPr>
        <w:instrText>3</w:instrText>
      </w:r>
      <w:r w:rsidR="0015270C" w:rsidRPr="00270F71">
        <w:rPr>
          <w:rFonts w:ascii="Times New Roman" w:hAnsi="Times New Roman" w:hint="eastAsia"/>
          <w:sz w:val="24"/>
          <w:szCs w:val="28"/>
        </w:rPr>
        <w:instrText>区</w:instrText>
      </w:r>
      <w:r w:rsidR="0015270C" w:rsidRPr="00270F71">
        <w:rPr>
          <w:rFonts w:ascii="Times New Roman" w:hAnsi="Times New Roman" w:hint="eastAsia"/>
          <w:sz w:val="24"/>
          <w:szCs w:val="28"/>
        </w:rPr>
        <w:instrText>\n</w:instrText>
      </w:r>
      <w:r w:rsidR="0015270C" w:rsidRPr="00270F71">
        <w:rPr>
          <w:rFonts w:ascii="Times New Roman" w:hAnsi="Times New Roman" w:hint="eastAsia"/>
          <w:sz w:val="24"/>
          <w:szCs w:val="28"/>
        </w:rPr>
        <w:instrText>影响因子</w:instrText>
      </w:r>
      <w:r w:rsidR="0015270C" w:rsidRPr="00270F71">
        <w:rPr>
          <w:rFonts w:ascii="Times New Roman" w:hAnsi="Times New Roman" w:hint="eastAsia"/>
          <w:sz w:val="24"/>
          <w:szCs w:val="28"/>
        </w:rPr>
        <w:instrText>: 3.4\n5</w:instrText>
      </w:r>
      <w:r w:rsidR="0015270C" w:rsidRPr="00270F71">
        <w:rPr>
          <w:rFonts w:ascii="Times New Roman" w:hAnsi="Times New Roman" w:hint="eastAsia"/>
          <w:sz w:val="24"/>
          <w:szCs w:val="28"/>
        </w:rPr>
        <w:instrText>年影响因子</w:instrText>
      </w:r>
      <w:r w:rsidR="0015270C" w:rsidRPr="00270F71">
        <w:rPr>
          <w:rFonts w:ascii="Times New Roman" w:hAnsi="Times New Roman" w:hint="eastAsia"/>
          <w:sz w:val="24"/>
          <w:szCs w:val="28"/>
        </w:rPr>
        <w:instrText>: 4.2\n</w:instrText>
      </w:r>
      <w:r w:rsidR="0015270C" w:rsidRPr="00270F71">
        <w:rPr>
          <w:rFonts w:ascii="Times New Roman" w:hAnsi="Times New Roman" w:hint="eastAsia"/>
          <w:sz w:val="24"/>
          <w:szCs w:val="28"/>
        </w:rPr>
        <w:instrText>四川大学</w:instrText>
      </w:r>
      <w:r w:rsidR="0015270C" w:rsidRPr="00270F71">
        <w:rPr>
          <w:rFonts w:ascii="Times New Roman" w:hAnsi="Times New Roman" w:hint="eastAsia"/>
          <w:sz w:val="24"/>
          <w:szCs w:val="28"/>
        </w:rPr>
        <w:instrText xml:space="preserve">: </w:instrText>
      </w:r>
      <w:r w:rsidR="0015270C" w:rsidRPr="00270F71">
        <w:rPr>
          <w:rFonts w:ascii="Times New Roman" w:hAnsi="Times New Roman" w:hint="eastAsia"/>
          <w:sz w:val="24"/>
          <w:szCs w:val="28"/>
        </w:rPr>
        <w:instrText>医学</w:instrText>
      </w:r>
      <w:r w:rsidR="0015270C" w:rsidRPr="00270F71">
        <w:rPr>
          <w:rFonts w:ascii="Times New Roman" w:hAnsi="Times New Roman" w:hint="eastAsia"/>
          <w:sz w:val="24"/>
          <w:szCs w:val="28"/>
        </w:rPr>
        <w:instrText>D","page":"1081-1088","source":"DOI.org (Crossref)","title":"The associations between a capsaicin-rich diet and blood amyloid-</w:instrText>
      </w:r>
      <w:r w:rsidR="0015270C" w:rsidRPr="00270F71">
        <w:rPr>
          <w:rFonts w:ascii="Times New Roman" w:hAnsi="Times New Roman" w:hint="eastAsia"/>
          <w:sz w:val="24"/>
          <w:szCs w:val="28"/>
        </w:rPr>
        <w:instrText>β</w:instrText>
      </w:r>
      <w:r w:rsidR="0015270C" w:rsidRPr="00270F71">
        <w:rPr>
          <w:rFonts w:ascii="Times New Roman" w:hAnsi="Times New Roman" w:hint="eastAsia"/>
          <w:sz w:val="24"/>
          <w:szCs w:val="28"/>
        </w:rPr>
        <w:instrText xml:space="preserve"> levels and cognitive function","URL":"https://www.medra.org/servlet/aliasResolver?alias=iospress&amp;doi=10.3233/JAD-151079","volume":"52","author":[{"family":"Liu","given":"Cheng-Hui"},{"family":"Bu","given":"Xian-Le"},{"family":"Wang","given":"Jun"},{"family":"Zhang","given":"Tao"},{"family":"Xiang","given":"Yang"},{"family":"Shen","given":"Lin-Lin"},{"family":"Wang","given":"Qing-Hua"},{"family":"Deng","given":"Bo"},{"family":"Wang","given":"Xin"},{"family":"Zhu","given":"Chi"},{"family":"Yao","given":"Xiu-Qing"},{"family":"Zhang","given":"Meng"},{"family":"Zhou","given":"Hua-Dong"},{"family":"Wang","given":"Yan-Jiang"}],"accessed":{"date-parts":[["2024",6,22]]},"issued":{"date-parts":[["2016",5,23]]}}}],"schema":"https://github.com/citation-style-language/schema/raw/master/csl-citation.json"} </w:instrText>
      </w:r>
      <w:r w:rsidR="0015270C" w:rsidRPr="00270F71">
        <w:rPr>
          <w:rFonts w:ascii="Times New Roman" w:hAnsi="Times New Roman"/>
          <w:sz w:val="24"/>
          <w:szCs w:val="28"/>
        </w:rPr>
        <w:fldChar w:fldCharType="separate"/>
      </w:r>
      <w:r w:rsidR="0015270C" w:rsidRPr="00270F71">
        <w:rPr>
          <w:rFonts w:ascii="Times New Roman" w:hAnsi="Times New Roman"/>
          <w:sz w:val="24"/>
          <w:szCs w:val="28"/>
        </w:rPr>
        <w:t>[15]</w:t>
      </w:r>
      <w:r w:rsidR="0015270C" w:rsidRPr="00270F71">
        <w:rPr>
          <w:rFonts w:ascii="Times New Roman" w:hAnsi="Times New Roman"/>
          <w:sz w:val="24"/>
          <w:szCs w:val="28"/>
        </w:rPr>
        <w:fldChar w:fldCharType="end"/>
      </w:r>
      <w:r w:rsidRPr="00270F71">
        <w:rPr>
          <w:rFonts w:ascii="Times New Roman" w:hAnsi="Times New Roman" w:hint="eastAsia"/>
          <w:sz w:val="24"/>
          <w:szCs w:val="28"/>
        </w:rPr>
        <w:t xml:space="preserve">. Our findings suggest that it might be the preference for spicy food, rather than the quantity consumed, that is linked to better cognitive outcomes, highlighting the complexity of this relationship. </w:t>
      </w:r>
    </w:p>
    <w:p w14:paraId="6238DE92" w14:textId="57B6E94D" w:rsidR="00BD665B" w:rsidRPr="00270F71" w:rsidRDefault="00BD665B"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The cognitive benefits may be due to capsaicin, the compound responsible for spiciness, which has been shown in animal studies to reduce brain amyloid-</w:t>
      </w:r>
      <w:r w:rsidRPr="00270F71">
        <w:rPr>
          <w:rFonts w:ascii="Times New Roman" w:hAnsi="Times New Roman"/>
          <w:sz w:val="24"/>
          <w:szCs w:val="28"/>
        </w:rPr>
        <w:t>β</w:t>
      </w:r>
      <w:r w:rsidRPr="00270F71">
        <w:rPr>
          <w:rFonts w:ascii="Times New Roman" w:hAnsi="Times New Roman" w:hint="eastAsia"/>
          <w:sz w:val="24"/>
          <w:szCs w:val="28"/>
        </w:rPr>
        <w:t xml:space="preserve"> production</w:t>
      </w:r>
      <w:r w:rsidR="0015270C" w:rsidRPr="00270F71">
        <w:rPr>
          <w:rFonts w:ascii="Times New Roman" w:hAnsi="Times New Roman"/>
          <w:sz w:val="24"/>
          <w:szCs w:val="28"/>
        </w:rPr>
        <w:fldChar w:fldCharType="begin"/>
      </w:r>
      <w:r w:rsidR="0015270C" w:rsidRPr="00270F71">
        <w:rPr>
          <w:rFonts w:ascii="Times New Roman" w:hAnsi="Times New Roman" w:hint="eastAsia"/>
          <w:sz w:val="24"/>
          <w:szCs w:val="28"/>
        </w:rPr>
        <w:instrText xml:space="preserve"> ADDIN ZOTERO_ITEM CSL_CITATION {"citationID":"7ov5u1D9","properties":{"formattedCitation":"\\super [11]\\nosupersub{}","plainCitation":"[11]","noteIndex":0},"citationItems":[{"id":"kuVermZp/IwS31ECg","uris":["http://zotero.org/users/9805811/items/LX5B37MP"],"itemData":{"id":674,"type":"article-journal","abstract":"Alzheimer's disease (AD) is the most common cause of age-related dementia and is currently incurable. The failures of current clinical trials and the establishment of modifiable risk factors have shifted the AD intervention from treatment to prevention in the at-risk population. Previous studies suggest that there is a geographic overlap between AD incidence and spicy food consumption. We previously reported that capsaicin-rich diet consumption was associated with better cognition and lower serum Amyloid-beta (A</w:instrText>
      </w:r>
      <w:r w:rsidR="0015270C" w:rsidRPr="00270F71">
        <w:rPr>
          <w:rFonts w:ascii="Times New Roman" w:hAnsi="Times New Roman" w:hint="eastAsia"/>
          <w:sz w:val="24"/>
          <w:szCs w:val="28"/>
        </w:rPr>
        <w:instrText>β</w:instrText>
      </w:r>
      <w:r w:rsidR="0015270C" w:rsidRPr="00270F71">
        <w:rPr>
          <w:rFonts w:ascii="Times New Roman" w:hAnsi="Times New Roman" w:hint="eastAsia"/>
          <w:sz w:val="24"/>
          <w:szCs w:val="28"/>
        </w:rPr>
        <w:instrText>) levels in people aged 40 years and over. In the present study, we found that intake of capsaicin, the pungent ingredient in chili peppers, reduced brain A</w:instrText>
      </w:r>
      <w:r w:rsidR="0015270C" w:rsidRPr="00270F71">
        <w:rPr>
          <w:rFonts w:ascii="Times New Roman" w:hAnsi="Times New Roman" w:hint="eastAsia"/>
          <w:sz w:val="24"/>
          <w:szCs w:val="28"/>
        </w:rPr>
        <w:instrText>β</w:instrText>
      </w:r>
      <w:r w:rsidR="0015270C" w:rsidRPr="00270F71">
        <w:rPr>
          <w:rFonts w:ascii="Times New Roman" w:hAnsi="Times New Roman" w:hint="eastAsia"/>
          <w:sz w:val="24"/>
          <w:szCs w:val="28"/>
        </w:rPr>
        <w:instrText xml:space="preserve"> burden and rescued cognitive decline in APP/PS1 mice. Our in vivo and in vitro studies revealed that capsaicin shifted Amyloid precursor protein (APP) processing towards </w:instrText>
      </w:r>
      <w:r w:rsidR="0015270C" w:rsidRPr="00270F71">
        <w:rPr>
          <w:rFonts w:ascii="Times New Roman" w:hAnsi="Times New Roman" w:hint="eastAsia"/>
          <w:sz w:val="24"/>
          <w:szCs w:val="28"/>
        </w:rPr>
        <w:instrText>α</w:instrText>
      </w:r>
      <w:r w:rsidR="0015270C" w:rsidRPr="00270F71">
        <w:rPr>
          <w:rFonts w:ascii="Times New Roman" w:hAnsi="Times New Roman" w:hint="eastAsia"/>
          <w:sz w:val="24"/>
          <w:szCs w:val="28"/>
        </w:rPr>
        <w:instrText>-cleavage and precluded A</w:instrText>
      </w:r>
      <w:r w:rsidR="0015270C" w:rsidRPr="00270F71">
        <w:rPr>
          <w:rFonts w:ascii="Times New Roman" w:hAnsi="Times New Roman" w:hint="eastAsia"/>
          <w:sz w:val="24"/>
          <w:szCs w:val="28"/>
        </w:rPr>
        <w:instrText>β</w:instrText>
      </w:r>
      <w:r w:rsidR="0015270C" w:rsidRPr="00270F71">
        <w:rPr>
          <w:rFonts w:ascii="Times New Roman" w:hAnsi="Times New Roman" w:hint="eastAsia"/>
          <w:sz w:val="24"/>
          <w:szCs w:val="28"/>
        </w:rPr>
        <w:instrText xml:space="preserve"> generation by promoting the maturation of a disintegrin and metalloproteinase 10 (ADAM10). We also found that capsaicin alleviated other AD-type pathologies, such as tau hyperphosphorylation, neuroinflammation and neurodegeneration. The present study suggests that capsaicin is a potential therapeutic candidate for AD and warrants clinical trials on chili peppers or capsaicin as dietary supplementation for the prevention and treatment of AD.","call-number":"2","container-title":"Translational Psychiatry","DOI":"10.1038/s41398-020-00918-y","ISSN":"2158-3188","issue":"1","journalAbbreviation":"Transl Psychiatry","language":"eng","note":"PMID: 32661266\nPMCID: PMC7359297","page":"230","source":"7.989","title":"Capsaicin consumption reduces brain amyloid-beta generation and attenuates Alzheimer's disease-type pathology and cognitive deficits in APP/PS1 mice","volume":"10","author":[{"family":"Wang","given":"Jun"},{"family":"Sun","given":"Bin-Lu"},{"family":"Xiang","given":"Yang"},{"family":"Tian","given":"Ding-Yuan"},{"family":"Zhu","given":"Chi"},{"family":"Li","given":"Wei-Wei"},{"family":"Liu","given":"Yu-Hui"},{"family":"Bu","given":"Xian-Le"},{"family":"Shen","given":"Lin-Lin"},{"family":"Jin","given":"Wang-Sheng"},{"family":"Wang","given":"Zhen"},{"family":"Zeng","given":"Gui-Hua"},{"family":"Xu","given":"Wei"},{"family":"Chen","given":"Li-Yong"},{"family":"Chen","given":"Xiao-Wei"},{"family":"Hu","given":"Zhian"},{"family":"Zhu","given":"Zhi-Ming"},{"family":"Song","given":"Weihong"},{"family":"Zhou","given":"Hua-Dong"},{"family":"Yu","given":"Jin-Tai"},{"family":"Wang","given":"Yan-Jiang"}],"issued":{"date-parts":[["2020",7,13]]}}}],"schema":"https://github.com/citation-style-language/schema/raw/master/csl-citation.json"} </w:instrText>
      </w:r>
      <w:r w:rsidR="0015270C" w:rsidRPr="00270F71">
        <w:rPr>
          <w:rFonts w:ascii="Times New Roman" w:hAnsi="Times New Roman"/>
          <w:sz w:val="24"/>
          <w:szCs w:val="28"/>
        </w:rPr>
        <w:fldChar w:fldCharType="separate"/>
      </w:r>
      <w:r w:rsidR="0015270C" w:rsidRPr="00270F71">
        <w:rPr>
          <w:rFonts w:ascii="Times New Roman" w:hAnsi="Times New Roman"/>
          <w:sz w:val="24"/>
          <w:szCs w:val="28"/>
        </w:rPr>
        <w:t>[11]</w:t>
      </w:r>
      <w:r w:rsidR="0015270C" w:rsidRPr="00270F71">
        <w:rPr>
          <w:rFonts w:ascii="Times New Roman" w:hAnsi="Times New Roman"/>
          <w:sz w:val="24"/>
          <w:szCs w:val="28"/>
        </w:rPr>
        <w:fldChar w:fldCharType="end"/>
      </w:r>
      <w:r w:rsidRPr="00270F71">
        <w:rPr>
          <w:rFonts w:ascii="Times New Roman" w:hAnsi="Times New Roman" w:hint="eastAsia"/>
          <w:sz w:val="24"/>
          <w:szCs w:val="28"/>
        </w:rPr>
        <w:t>. Additionally, vitamins in peppers, such as vitamin C and B vitamins, have antioxidant and anti-inflammatory properties that support brain health</w:t>
      </w:r>
      <w:r w:rsidR="0015270C" w:rsidRPr="00270F71">
        <w:rPr>
          <w:rFonts w:ascii="Times New Roman" w:hAnsi="Times New Roman"/>
          <w:sz w:val="24"/>
          <w:szCs w:val="28"/>
        </w:rPr>
        <w:fldChar w:fldCharType="begin"/>
      </w:r>
      <w:r w:rsidR="0015270C" w:rsidRPr="00270F71">
        <w:rPr>
          <w:rFonts w:ascii="Times New Roman" w:hAnsi="Times New Roman" w:hint="eastAsia"/>
          <w:sz w:val="24"/>
          <w:szCs w:val="28"/>
        </w:rPr>
        <w:instrText xml:space="preserve"> ADDIN ZOTERO_ITEM CSL_CITATION {"citationID":"9DxuB7HB","properties":{"formattedCitation":"\\super [16]\\nosupersub{}","plainCitation":"[16]","noteIndex":0},"citationItems":[{"id":"kuVermZp/opej1L3f","uris":["http://zotero.org/users/9805811/items/AVUYBWXC"],"itemData":{"id":962,"type":"article-journal","abstract":"Alzheimer</w:instrText>
      </w:r>
      <w:r w:rsidR="0015270C" w:rsidRPr="00270F71">
        <w:rPr>
          <w:rFonts w:ascii="Times New Roman" w:hAnsi="Times New Roman" w:hint="eastAsia"/>
          <w:sz w:val="24"/>
          <w:szCs w:val="28"/>
        </w:rPr>
        <w:instrText>’</w:instrText>
      </w:r>
      <w:r w:rsidR="0015270C" w:rsidRPr="00270F71">
        <w:rPr>
          <w:rFonts w:ascii="Times New Roman" w:hAnsi="Times New Roman" w:hint="eastAsia"/>
          <w:sz w:val="24"/>
          <w:szCs w:val="28"/>
        </w:rPr>
        <w:instrText>s disease (AD) is the most common type of dementia that affects millions of individuals worldwide. It is an irreversible neurodegenerative disorder that is characterized by memory loss, impaired learning and thinking, and difficulty in performing regular daily activities. Despite nearly two decades of collective efforts to develop novel medications that can prevent or halt the disease progression, we remain faced with only a few options with limited effectiveness. There has been a recent growth of interest in the role of nutrition in brain health as we begin to gain a better understanding of what and how nutrients affect hormonal and neural actions that not only can lead to typical cardiovascular or metabolic diseases but also an array of neurological and psychiatric disorders. Vitamins and minerals, also known as micronutrients, are elements that are indispensable for functions including nutrient metabolism, immune surveillance, cell development, neurotransmission, and antioxidant and anti-inflammatory properties. In this review, we provide an overview on some of the most common vitamins and minerals and discuss what current studies have revealed on the link between these essential micronutrients and cognitive performance or AD.","call-number":"2","container-title":"Antioxidants","DOI":"10.3390/antiox12020415","ISSN":"2076-3921","issue":"2","journalAbbreviation":"Antioxidants (Basel)","note":"PMID: 36829974\nPMCID: PMC9952129","page":"415","source":"7","title":"Revisiting the Role of Vitamins and Minerals in Alzheimer</w:instrText>
      </w:r>
      <w:r w:rsidR="0015270C" w:rsidRPr="00270F71">
        <w:rPr>
          <w:rFonts w:ascii="Times New Roman" w:hAnsi="Times New Roman" w:hint="eastAsia"/>
          <w:sz w:val="24"/>
          <w:szCs w:val="28"/>
        </w:rPr>
        <w:instrText>’</w:instrText>
      </w:r>
      <w:r w:rsidR="0015270C" w:rsidRPr="00270F71">
        <w:rPr>
          <w:rFonts w:ascii="Times New Roman" w:hAnsi="Times New Roman" w:hint="eastAsia"/>
          <w:sz w:val="24"/>
          <w:szCs w:val="28"/>
        </w:rPr>
        <w:instrText xml:space="preserve">s Disease","volume":"12","author":[{"family":"Shah","given":"Harsh"},{"family":"Dehghani","given":"Fereshteh"},{"family":"Ramezan","given":"Marjan"},{"family":"Gannaban","given":"Ritchel B."},{"family":"Haque","given":"Zobayda Farzana"},{"family":"Rahimi","given":"Fatemeh"},{"family":"Abbasi","given":"Soheil"},{"family":"Shin","given":"Andrew C."}],"issued":{"date-parts":[["2023",2,8]]}}}],"schema":"https://github.com/citation-style-language/schema/raw/master/csl-citation.json"} </w:instrText>
      </w:r>
      <w:r w:rsidR="0015270C" w:rsidRPr="00270F71">
        <w:rPr>
          <w:rFonts w:ascii="Times New Roman" w:hAnsi="Times New Roman"/>
          <w:sz w:val="24"/>
          <w:szCs w:val="28"/>
        </w:rPr>
        <w:fldChar w:fldCharType="separate"/>
      </w:r>
      <w:r w:rsidR="0015270C" w:rsidRPr="00270F71">
        <w:rPr>
          <w:rFonts w:ascii="Times New Roman" w:hAnsi="Times New Roman"/>
          <w:sz w:val="24"/>
          <w:szCs w:val="28"/>
        </w:rPr>
        <w:t>[16]</w:t>
      </w:r>
      <w:r w:rsidR="0015270C" w:rsidRPr="00270F71">
        <w:rPr>
          <w:rFonts w:ascii="Times New Roman" w:hAnsi="Times New Roman"/>
          <w:sz w:val="24"/>
          <w:szCs w:val="28"/>
        </w:rPr>
        <w:fldChar w:fldCharType="end"/>
      </w:r>
      <w:r w:rsidRPr="00270F71">
        <w:rPr>
          <w:rFonts w:ascii="Times New Roman" w:hAnsi="Times New Roman" w:hint="eastAsia"/>
          <w:sz w:val="24"/>
          <w:szCs w:val="28"/>
        </w:rPr>
        <w:t>.</w:t>
      </w:r>
    </w:p>
    <w:p w14:paraId="3424D8C2" w14:textId="72A2C618" w:rsidR="00BD665B" w:rsidRPr="00270F71" w:rsidRDefault="0015270C" w:rsidP="00270F71">
      <w:pPr>
        <w:spacing w:beforeLines="50" w:before="120" w:after="0" w:line="240" w:lineRule="auto"/>
        <w:rPr>
          <w:rFonts w:ascii="Times New Roman" w:hAnsi="Times New Roman"/>
          <w:sz w:val="24"/>
          <w:szCs w:val="28"/>
        </w:rPr>
      </w:pPr>
      <w:r w:rsidRPr="00270F71">
        <w:rPr>
          <w:rFonts w:ascii="Times New Roman" w:hAnsi="Times New Roman" w:hint="eastAsia"/>
          <w:sz w:val="24"/>
          <w:szCs w:val="28"/>
        </w:rPr>
        <w:t>In conclusion, this study found that appropriate spicy food preference may have a protective effect on cognitive function and depressive symptoms in the elderly, and depressive symptoms may partially mediate the protective effect of spicy food preference on cognitive function.</w:t>
      </w:r>
    </w:p>
    <w:p w14:paraId="1C55E1AF" w14:textId="77777777" w:rsidR="00BD665B" w:rsidRDefault="00BD665B" w:rsidP="00270F71">
      <w:pPr>
        <w:spacing w:beforeLines="50" w:before="120" w:after="0" w:line="240" w:lineRule="auto"/>
        <w:rPr>
          <w:rFonts w:ascii="Times New Roman" w:hAnsi="Times New Roman"/>
          <w:sz w:val="21"/>
        </w:rPr>
      </w:pPr>
    </w:p>
    <w:p w14:paraId="06C997A6" w14:textId="77777777" w:rsidR="00270F71" w:rsidRDefault="00270F71" w:rsidP="00270F71">
      <w:pPr>
        <w:spacing w:beforeLines="50" w:before="120" w:after="0" w:line="240" w:lineRule="auto"/>
        <w:rPr>
          <w:rFonts w:ascii="Times New Roman" w:hAnsi="Times New Roman"/>
          <w:sz w:val="21"/>
        </w:rPr>
      </w:pPr>
    </w:p>
    <w:p w14:paraId="41021805" w14:textId="77777777" w:rsidR="00437E62" w:rsidRPr="00437E62" w:rsidRDefault="00437E62" w:rsidP="00437E62">
      <w:pPr>
        <w:spacing w:beforeLines="50" w:before="120" w:after="0" w:line="240" w:lineRule="auto"/>
        <w:rPr>
          <w:rFonts w:ascii="Times New Roman" w:hAnsi="Times New Roman"/>
          <w:b/>
          <w:bCs/>
          <w:sz w:val="21"/>
        </w:rPr>
      </w:pPr>
      <w:r w:rsidRPr="00437E62">
        <w:rPr>
          <w:rFonts w:ascii="Times New Roman" w:hAnsi="Times New Roman"/>
          <w:b/>
          <w:bCs/>
          <w:sz w:val="21"/>
        </w:rPr>
        <w:t>Funding</w:t>
      </w:r>
    </w:p>
    <w:p w14:paraId="08605E2C" w14:textId="77777777" w:rsidR="00437E62" w:rsidRDefault="00437E62" w:rsidP="00437E62">
      <w:pPr>
        <w:spacing w:beforeLines="50" w:before="120" w:after="0" w:line="240" w:lineRule="auto"/>
        <w:rPr>
          <w:rFonts w:ascii="Times New Roman" w:hAnsi="Times New Roman"/>
          <w:sz w:val="21"/>
        </w:rPr>
      </w:pPr>
      <w:r w:rsidRPr="00437E62">
        <w:rPr>
          <w:rFonts w:ascii="Times New Roman" w:hAnsi="Times New Roman"/>
          <w:sz w:val="21"/>
        </w:rPr>
        <w:t>This study was supported by funds from the National Key R&amp;D Program of China (2022YFC3600600), the Natural Science Innovative Research Group Program of Sichuan Province, China (24NSFTD0042), the Recruitment Program for Young Professionals of China, the Promotion Plan for Basic Medical Sciences, the Development Plan for Cutting-Edge Disciplines, Sichuan University, and other Projects from West China School of Public Health and West China Fourth Hospital, Sichuan University. The sponsors of this study had no role in study design, data collection, analysis, interpretation, writing of the report, or the decision for submission.</w:t>
      </w:r>
    </w:p>
    <w:p w14:paraId="773E0FC9" w14:textId="77777777" w:rsidR="00437E62" w:rsidRPr="00437E62" w:rsidRDefault="00437E62" w:rsidP="00437E62">
      <w:pPr>
        <w:spacing w:beforeLines="50" w:before="120" w:after="0" w:line="240" w:lineRule="auto"/>
        <w:rPr>
          <w:rFonts w:ascii="Times New Roman" w:hAnsi="Times New Roman"/>
          <w:sz w:val="21"/>
        </w:rPr>
      </w:pPr>
    </w:p>
    <w:p w14:paraId="20961624" w14:textId="77777777" w:rsidR="00437E62" w:rsidRPr="00437E62" w:rsidRDefault="00437E62" w:rsidP="00437E62">
      <w:pPr>
        <w:spacing w:beforeLines="50" w:before="120" w:after="0" w:line="240" w:lineRule="auto"/>
        <w:rPr>
          <w:rFonts w:ascii="Times New Roman" w:hAnsi="Times New Roman"/>
          <w:b/>
          <w:bCs/>
          <w:sz w:val="21"/>
        </w:rPr>
      </w:pPr>
      <w:r w:rsidRPr="00437E62">
        <w:rPr>
          <w:rFonts w:ascii="Times New Roman" w:hAnsi="Times New Roman"/>
          <w:b/>
          <w:bCs/>
          <w:sz w:val="21"/>
        </w:rPr>
        <w:t>Declaration of interests</w:t>
      </w:r>
    </w:p>
    <w:p w14:paraId="38DC35E0" w14:textId="77777777" w:rsidR="00437E62" w:rsidRPr="00437E62" w:rsidRDefault="00437E62" w:rsidP="00437E62">
      <w:pPr>
        <w:spacing w:beforeLines="50" w:before="120" w:after="0" w:line="240" w:lineRule="auto"/>
        <w:rPr>
          <w:rFonts w:ascii="Times New Roman" w:hAnsi="Times New Roman"/>
          <w:sz w:val="21"/>
        </w:rPr>
      </w:pPr>
      <w:r w:rsidRPr="00437E62">
        <w:rPr>
          <w:rFonts w:ascii="Times New Roman" w:hAnsi="Times New Roman"/>
          <w:sz w:val="21"/>
        </w:rPr>
        <w:t>All authors declare no competing interests.</w:t>
      </w:r>
    </w:p>
    <w:p w14:paraId="5C07101B" w14:textId="77777777" w:rsidR="00270F71" w:rsidRPr="00437E62" w:rsidRDefault="00270F71" w:rsidP="00270F71">
      <w:pPr>
        <w:spacing w:beforeLines="50" w:before="120" w:after="0" w:line="240" w:lineRule="auto"/>
        <w:rPr>
          <w:rFonts w:ascii="Times New Roman" w:hAnsi="Times New Roman"/>
          <w:sz w:val="21"/>
        </w:rPr>
      </w:pPr>
    </w:p>
    <w:p w14:paraId="5B2C6CC4" w14:textId="77777777" w:rsidR="00270F71" w:rsidRDefault="00270F71" w:rsidP="00270F71">
      <w:pPr>
        <w:spacing w:beforeLines="50" w:before="120" w:after="0" w:line="240" w:lineRule="auto"/>
        <w:rPr>
          <w:rFonts w:ascii="Times New Roman" w:hAnsi="Times New Roman"/>
          <w:sz w:val="21"/>
        </w:rPr>
      </w:pPr>
    </w:p>
    <w:p w14:paraId="38408193" w14:textId="77777777" w:rsidR="00270F71" w:rsidRPr="00270F71" w:rsidRDefault="00270F71" w:rsidP="00270F71">
      <w:pPr>
        <w:spacing w:beforeLines="50" w:before="120" w:after="0" w:line="240" w:lineRule="auto"/>
        <w:rPr>
          <w:rFonts w:ascii="Times New Roman" w:hAnsi="Times New Roman"/>
          <w:sz w:val="21"/>
        </w:rPr>
      </w:pPr>
    </w:p>
    <w:p w14:paraId="5777E624" w14:textId="632746E4" w:rsidR="0015270C" w:rsidRPr="00270F71" w:rsidRDefault="0015270C" w:rsidP="00270F71">
      <w:pPr>
        <w:spacing w:beforeLines="50" w:before="120" w:after="0" w:line="240" w:lineRule="auto"/>
        <w:rPr>
          <w:rFonts w:ascii="Times New Roman" w:hAnsi="Times New Roman"/>
          <w:sz w:val="21"/>
        </w:rPr>
      </w:pPr>
      <w:r w:rsidRPr="00270F71">
        <w:rPr>
          <w:rFonts w:ascii="Times New Roman" w:hAnsi="Times New Roman" w:hint="eastAsia"/>
          <w:sz w:val="21"/>
        </w:rPr>
        <w:t>Reference</w:t>
      </w:r>
    </w:p>
    <w:p w14:paraId="29B21B29" w14:textId="77777777" w:rsidR="00270F71" w:rsidRPr="00270F71" w:rsidRDefault="00BB5AD6" w:rsidP="00270F71">
      <w:pPr>
        <w:pStyle w:val="a4"/>
        <w:rPr>
          <w:rFonts w:ascii="Times New Roman" w:hAnsi="Times New Roman" w:cs="Times New Roman"/>
          <w:sz w:val="21"/>
        </w:rPr>
      </w:pPr>
      <w:r w:rsidRPr="00270F71">
        <w:rPr>
          <w:sz w:val="21"/>
        </w:rPr>
        <w:fldChar w:fldCharType="begin"/>
      </w:r>
      <w:r w:rsidR="00270F71">
        <w:rPr>
          <w:sz w:val="21"/>
        </w:rPr>
        <w:instrText xml:space="preserve"> ADDIN ZOTERO_BIBL {"uncited":[],"omitted":[],"custom":[]} CSL_BIBLIOGRAPHY </w:instrText>
      </w:r>
      <w:r w:rsidRPr="00270F71">
        <w:rPr>
          <w:sz w:val="21"/>
        </w:rPr>
        <w:fldChar w:fldCharType="separate"/>
      </w:r>
      <w:r w:rsidR="00270F71" w:rsidRPr="00270F71">
        <w:rPr>
          <w:rFonts w:ascii="Times New Roman" w:hAnsi="Times New Roman" w:cs="Times New Roman"/>
          <w:sz w:val="21"/>
        </w:rPr>
        <w:t>[1]</w:t>
      </w:r>
      <w:r w:rsidR="00270F71" w:rsidRPr="00270F71">
        <w:rPr>
          <w:rFonts w:ascii="Times New Roman" w:hAnsi="Times New Roman" w:cs="Times New Roman"/>
          <w:sz w:val="21"/>
        </w:rPr>
        <w:tab/>
        <w:t>Global status report on the public health response to dementia.Geneva: World Health Organization; 2021. Licence: CC BY-NC-SA 3.0 IGO.[R].</w:t>
      </w:r>
    </w:p>
    <w:p w14:paraId="30C8CFD5"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[2]</w:t>
      </w:r>
      <w:r w:rsidRPr="00270F71">
        <w:rPr>
          <w:rFonts w:ascii="Times New Roman" w:hAnsi="Times New Roman" w:cs="Times New Roman"/>
          <w:sz w:val="21"/>
        </w:rPr>
        <w:tab/>
        <w:t>The top 10 causes of death [Internet]. World Health Organization. 2021 [cited 6 May 2024]. https://www.who.int/news-room/fact-sheets/detail/the-top-10-causes-of-death[R].</w:t>
      </w:r>
    </w:p>
    <w:p w14:paraId="22D9F35A"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[3]</w:t>
      </w:r>
      <w:r w:rsidRPr="00270F71">
        <w:rPr>
          <w:rFonts w:ascii="Times New Roman" w:hAnsi="Times New Roman" w:cs="Times New Roman"/>
          <w:sz w:val="21"/>
        </w:rPr>
        <w:tab/>
        <w:t>Jones J D, Kurniadi N E, Kuhn T P, et al. Depressive symptoms precede cognitive impairment in de novo Parkinson’s disease patients: Analysis of the PPMI cohort[J/OL]. Neuropsychology, 2019, 33(8): 1111-1120. DOI:10.1037/neu0000583.</w:t>
      </w:r>
    </w:p>
    <w:p w14:paraId="1E59766D"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[4]</w:t>
      </w:r>
      <w:r w:rsidRPr="00270F71">
        <w:rPr>
          <w:rFonts w:ascii="Times New Roman" w:hAnsi="Times New Roman" w:cs="Times New Roman"/>
          <w:sz w:val="21"/>
        </w:rPr>
        <w:tab/>
        <w:t>Bae S M. Autoregressive cross-lagged modelling of the relationship between social activity, depressive symptoms, and cognitive function in Korean elderly[J/OL]. Psychogeriatrics, 2021, 21(3): 350-358. DOI:10.1111/psyg.12674.</w:t>
      </w:r>
    </w:p>
    <w:p w14:paraId="6920E5F3"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[5]</w:t>
      </w:r>
      <w:r w:rsidRPr="00270F71">
        <w:rPr>
          <w:rFonts w:ascii="Times New Roman" w:hAnsi="Times New Roman" w:cs="Times New Roman"/>
          <w:sz w:val="21"/>
        </w:rPr>
        <w:tab/>
        <w:t>Sugarman M A, Alosco M L, Tripodis Y, et al. Neuropsychiatric Symptoms and the Diagnostic Stability of Mild Cognitive Impairment[J/OL]. Journal of Alzheimer’s disease: JAD, 2018, 62(4): 1841-1855. DOI:10.3233/JAD-170527.</w:t>
      </w:r>
    </w:p>
    <w:p w14:paraId="2E227784"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lastRenderedPageBreak/>
        <w:t>[6]</w:t>
      </w:r>
      <w:r w:rsidRPr="00270F71">
        <w:rPr>
          <w:rFonts w:ascii="Times New Roman" w:hAnsi="Times New Roman" w:cs="Times New Roman"/>
          <w:sz w:val="21"/>
        </w:rPr>
        <w:tab/>
        <w:t>Zheng F, Zhong B, Song X, et al. Persistent depressive symptoms and cognitive decline in older adults[J/OL]. The British Journal of Psychiatry: The Journal of Mental Science, 2018, 213(5): 638-644. DOI:10.1192/bjp.2018.155.</w:t>
      </w:r>
    </w:p>
    <w:p w14:paraId="7B4FCD6E"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[7]</w:t>
      </w:r>
      <w:r w:rsidRPr="00270F71">
        <w:rPr>
          <w:rFonts w:ascii="Times New Roman" w:hAnsi="Times New Roman" w:cs="Times New Roman"/>
          <w:sz w:val="21"/>
        </w:rPr>
        <w:tab/>
        <w:t>Siervo M, Shannon O M, Llewellyn D J, et al. Mediterranean diet and cognitive function: From methodology to mechanisms of action[J/OL]. Free Radical Biology &amp; Medicine, 2021, 176: 105-117. DOI:10.1016/j.freeradbiomed.2021.09.018.</w:t>
      </w:r>
    </w:p>
    <w:p w14:paraId="3F88E3EE"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[8]</w:t>
      </w:r>
      <w:r w:rsidRPr="00270F71">
        <w:rPr>
          <w:rFonts w:ascii="Times New Roman" w:hAnsi="Times New Roman" w:cs="Times New Roman"/>
          <w:sz w:val="21"/>
        </w:rPr>
        <w:tab/>
        <w:t>Coelho-Júnior H J, Trichopoulou A, Panza F. Cross-sectional and longitudinal associations between adherence to mediterranean diet with physical performance and cognitive function in older adults: A systematic review and meta-analysis[J/OL]. Ageing Research Reviews, 2021, 70: 101395. DOI:10.1016/j.arr.2021.101395.</w:t>
      </w:r>
    </w:p>
    <w:p w14:paraId="019CFBC1"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[9]</w:t>
      </w:r>
      <w:r w:rsidRPr="00270F71">
        <w:rPr>
          <w:rFonts w:ascii="Times New Roman" w:hAnsi="Times New Roman" w:cs="Times New Roman"/>
          <w:sz w:val="21"/>
        </w:rPr>
        <w:tab/>
        <w:t>Leigh S J, Morris M J. Diet, inflammation and the gut microbiome: Mechanisms for obesity-associated cognitive impairment[J/OL]. Biochimica Et Biophysica Acta. Molecular Basis of Disease, 2020, 1866(6): 165767. DOI:10.1016/j.bbadis.2020.165767.</w:t>
      </w:r>
    </w:p>
    <w:p w14:paraId="7E72C9DD"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[10]</w:t>
      </w:r>
      <w:r w:rsidRPr="00270F71">
        <w:rPr>
          <w:rFonts w:ascii="Times New Roman" w:hAnsi="Times New Roman" w:cs="Times New Roman"/>
          <w:sz w:val="21"/>
        </w:rPr>
        <w:tab/>
        <w:t>Lu M, Chen C, Lan Y, et al. Capsaicin-the major bioactive ingredient of chili peppers: bio-efficacy and delivery systems[J/OL]. Food &amp; Function, 2020, 11(4): 2848-2860. DOI:10.1039/d0fo00351d.</w:t>
      </w:r>
    </w:p>
    <w:p w14:paraId="14B730AE"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[11]</w:t>
      </w:r>
      <w:r w:rsidRPr="00270F71">
        <w:rPr>
          <w:rFonts w:ascii="Times New Roman" w:hAnsi="Times New Roman" w:cs="Times New Roman"/>
          <w:sz w:val="21"/>
        </w:rPr>
        <w:tab/>
        <w:t>Wang J, Sun B L, Xiang Y, et al. Capsaicin consumption reduces brain amyloid-beta generation and attenuates Alzheimer’s disease-type pathology and cognitive deficits in APP/PS1 mice[J/OL]. Translational Psychiatry, 2020, 10(1): 230. DOI:10.1038/s41398-020-00918-y.</w:t>
      </w:r>
    </w:p>
    <w:p w14:paraId="52D338EF"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[12]</w:t>
      </w:r>
      <w:r w:rsidRPr="00270F71">
        <w:rPr>
          <w:rFonts w:ascii="Times New Roman" w:hAnsi="Times New Roman" w:cs="Times New Roman"/>
          <w:sz w:val="21"/>
        </w:rPr>
        <w:tab/>
        <w:t>Krishnamoorthy N K, Roohi T F, Peddha M S, et al. Evaluation of Antidepressant Activity of Capsaicin Nanoemulsion in Nicotine Withdrawal-Induced Depression in Mice[J/OL]. Brain Sciences, 2023, 13(12): 1668. DOI:10.3390/brainsci13121668.</w:t>
      </w:r>
    </w:p>
    <w:p w14:paraId="0C3C0BBC"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[13]</w:t>
      </w:r>
      <w:r w:rsidRPr="00270F71">
        <w:rPr>
          <w:rFonts w:ascii="Times New Roman" w:hAnsi="Times New Roman" w:cs="Times New Roman"/>
          <w:sz w:val="21"/>
        </w:rPr>
        <w:tab/>
        <w:t>Sudlow C, Gallacher J, Allen N, et al. UK Biobank: An Open Access Resource for Identifying the Causes of a Wide Range of Complex Diseases of Middle and Old Age[J/OL]. PLoS Medicine, 2015, 12(3): e1001779. DOI:10.1371/journal.pmed.1001779.</w:t>
      </w:r>
    </w:p>
    <w:p w14:paraId="769AD5C7"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[14]</w:t>
      </w:r>
      <w:r w:rsidRPr="00270F71">
        <w:rPr>
          <w:rFonts w:ascii="Times New Roman" w:hAnsi="Times New Roman" w:cs="Times New Roman"/>
          <w:sz w:val="21"/>
        </w:rPr>
        <w:tab/>
        <w:t>Tingley D, Yamamoto T, Hirose K, et al. Mediation: R package for causal mediation analysis[J/OL]. Journal of Statistical Software, 2014, 59: 1-38[2024-06-22]. https://doi.org/10.18637/jss.v059.i05. DOI:10.18637/jss.v059.i05.</w:t>
      </w:r>
    </w:p>
    <w:p w14:paraId="2D08331F"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[15]</w:t>
      </w:r>
      <w:r w:rsidRPr="00270F71">
        <w:rPr>
          <w:rFonts w:ascii="Times New Roman" w:hAnsi="Times New Roman" w:cs="Times New Roman"/>
          <w:sz w:val="21"/>
        </w:rPr>
        <w:tab/>
        <w:t>Liu C H, Bu X L, Wang J, et al. The associations between a capsaicin-rich diet and blood amyloid-β levels and cognitive function[J/OL]. Journal of Alzheimer’s Disease, 2016, 52(3): 1081-1088[2024-06-22]. https://www.medra.org/servlet/aliasResolver?alias=iospress&amp;doi=10.3233/JAD-151079. DOI:10.3233/JAD-151079.</w:t>
      </w:r>
    </w:p>
    <w:p w14:paraId="2E9E019B" w14:textId="77777777" w:rsidR="00270F71" w:rsidRPr="00270F71" w:rsidRDefault="00270F71" w:rsidP="00270F71">
      <w:pPr>
        <w:pStyle w:val="a4"/>
        <w:rPr>
          <w:rFonts w:ascii="Times New Roman" w:hAnsi="Times New Roman" w:cs="Times New Roman"/>
          <w:sz w:val="21"/>
        </w:rPr>
      </w:pPr>
      <w:r w:rsidRPr="00270F71">
        <w:rPr>
          <w:rFonts w:ascii="Times New Roman" w:hAnsi="Times New Roman" w:cs="Times New Roman"/>
          <w:sz w:val="21"/>
        </w:rPr>
        <w:t>[16]</w:t>
      </w:r>
      <w:r w:rsidRPr="00270F71">
        <w:rPr>
          <w:rFonts w:ascii="Times New Roman" w:hAnsi="Times New Roman" w:cs="Times New Roman"/>
          <w:sz w:val="21"/>
        </w:rPr>
        <w:tab/>
        <w:t>Shah H, Dehghani F, Ramezan M, et al. Revisiting the Role of Vitamins and Minerals in Alzheimer’s Disease[J/OL]. Antioxidants, 2023, 12(2): 415. DOI:10.3390/antiox12020415.</w:t>
      </w:r>
    </w:p>
    <w:p w14:paraId="61BAD458" w14:textId="514DB7D9" w:rsidR="00A9452F" w:rsidRPr="00270F71" w:rsidRDefault="00BB5AD6" w:rsidP="00270F71">
      <w:pPr>
        <w:spacing w:beforeLines="50" w:before="120" w:after="0" w:line="240" w:lineRule="auto"/>
        <w:rPr>
          <w:rFonts w:ascii="Times New Roman" w:hAnsi="Times New Roman"/>
          <w:sz w:val="21"/>
        </w:rPr>
      </w:pPr>
      <w:r w:rsidRPr="00270F71">
        <w:rPr>
          <w:rFonts w:ascii="Times New Roman" w:hAnsi="Times New Roman"/>
          <w:sz w:val="21"/>
        </w:rPr>
        <w:fldChar w:fldCharType="end"/>
      </w:r>
    </w:p>
    <w:sectPr w:rsidR="00A9452F" w:rsidRPr="00270F71" w:rsidSect="00FD583A">
      <w:pgSz w:w="11906" w:h="16838"/>
      <w:pgMar w:top="1440" w:right="1800" w:bottom="1440" w:left="180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NewRomanPSMT">
    <w:altName w:val="Yu Gothic"/>
    <w:panose1 w:val="00000000000000000000"/>
    <w:charset w:val="80"/>
    <w:family w:val="auto"/>
    <w:notTrueType/>
    <w:pitch w:val="default"/>
    <w:sig w:usb0="00000001" w:usb1="080F0000" w:usb2="00000010" w:usb3="00000000" w:csb0="0006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D262C"/>
    <w:multiLevelType w:val="multilevel"/>
    <w:tmpl w:val="252C8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BC15D5"/>
    <w:multiLevelType w:val="multilevel"/>
    <w:tmpl w:val="6A8E3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10319D"/>
    <w:multiLevelType w:val="multilevel"/>
    <w:tmpl w:val="0EB8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834E32"/>
    <w:multiLevelType w:val="multilevel"/>
    <w:tmpl w:val="10CC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9B354F"/>
    <w:multiLevelType w:val="multilevel"/>
    <w:tmpl w:val="91FC1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A34A0B"/>
    <w:multiLevelType w:val="multilevel"/>
    <w:tmpl w:val="A67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7F0D04"/>
    <w:multiLevelType w:val="multilevel"/>
    <w:tmpl w:val="087A8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B25774"/>
    <w:multiLevelType w:val="multilevel"/>
    <w:tmpl w:val="92DEB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FB4B23"/>
    <w:multiLevelType w:val="multilevel"/>
    <w:tmpl w:val="7E5C0B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4C1CC9"/>
    <w:multiLevelType w:val="multilevel"/>
    <w:tmpl w:val="25965B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CC1DE5"/>
    <w:multiLevelType w:val="multilevel"/>
    <w:tmpl w:val="3888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265E8F"/>
    <w:multiLevelType w:val="multilevel"/>
    <w:tmpl w:val="B934B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071631"/>
    <w:multiLevelType w:val="multilevel"/>
    <w:tmpl w:val="EF62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6C606B"/>
    <w:multiLevelType w:val="multilevel"/>
    <w:tmpl w:val="4E74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326E1B"/>
    <w:multiLevelType w:val="multilevel"/>
    <w:tmpl w:val="90D00E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8A6E3E"/>
    <w:multiLevelType w:val="multilevel"/>
    <w:tmpl w:val="33EA0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B536FCA"/>
    <w:multiLevelType w:val="multilevel"/>
    <w:tmpl w:val="D9CC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9085069">
    <w:abstractNumId w:val="1"/>
  </w:num>
  <w:num w:numId="2" w16cid:durableId="1080758943">
    <w:abstractNumId w:val="11"/>
  </w:num>
  <w:num w:numId="3" w16cid:durableId="296493096">
    <w:abstractNumId w:val="3"/>
  </w:num>
  <w:num w:numId="4" w16cid:durableId="451020232">
    <w:abstractNumId w:val="14"/>
  </w:num>
  <w:num w:numId="5" w16cid:durableId="484736346">
    <w:abstractNumId w:val="0"/>
  </w:num>
  <w:num w:numId="6" w16cid:durableId="908341907">
    <w:abstractNumId w:val="5"/>
  </w:num>
  <w:num w:numId="7" w16cid:durableId="994842123">
    <w:abstractNumId w:val="15"/>
  </w:num>
  <w:num w:numId="8" w16cid:durableId="681664691">
    <w:abstractNumId w:val="10"/>
  </w:num>
  <w:num w:numId="9" w16cid:durableId="476650335">
    <w:abstractNumId w:val="16"/>
  </w:num>
  <w:num w:numId="10" w16cid:durableId="266625679">
    <w:abstractNumId w:val="8"/>
  </w:num>
  <w:num w:numId="11" w16cid:durableId="1381398609">
    <w:abstractNumId w:val="7"/>
  </w:num>
  <w:num w:numId="12" w16cid:durableId="327833013">
    <w:abstractNumId w:val="2"/>
  </w:num>
  <w:num w:numId="13" w16cid:durableId="1709282">
    <w:abstractNumId w:val="9"/>
  </w:num>
  <w:num w:numId="14" w16cid:durableId="231548702">
    <w:abstractNumId w:val="12"/>
  </w:num>
  <w:num w:numId="15" w16cid:durableId="1632326081">
    <w:abstractNumId w:val="13"/>
  </w:num>
  <w:num w:numId="16" w16cid:durableId="804082380">
    <w:abstractNumId w:val="4"/>
  </w:num>
  <w:num w:numId="17" w16cid:durableId="18026455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AwNLCwMLE0sDQ3NTZQ0lEKTi0uzszPAykwrgUAqTqyEywAAAA="/>
  </w:docVars>
  <w:rsids>
    <w:rsidRoot w:val="007029E5"/>
    <w:rsid w:val="00101539"/>
    <w:rsid w:val="0015270C"/>
    <w:rsid w:val="001B7F9F"/>
    <w:rsid w:val="00203C59"/>
    <w:rsid w:val="00270F71"/>
    <w:rsid w:val="004044ED"/>
    <w:rsid w:val="00437E62"/>
    <w:rsid w:val="00470B89"/>
    <w:rsid w:val="006A6982"/>
    <w:rsid w:val="006F3D22"/>
    <w:rsid w:val="007029E5"/>
    <w:rsid w:val="00735A81"/>
    <w:rsid w:val="009665FB"/>
    <w:rsid w:val="00977838"/>
    <w:rsid w:val="00993392"/>
    <w:rsid w:val="00A9452F"/>
    <w:rsid w:val="00B473C6"/>
    <w:rsid w:val="00B70088"/>
    <w:rsid w:val="00BB5AD6"/>
    <w:rsid w:val="00BD665B"/>
    <w:rsid w:val="00C40F88"/>
    <w:rsid w:val="00C41FE8"/>
    <w:rsid w:val="00CB6FD9"/>
    <w:rsid w:val="00E106E5"/>
    <w:rsid w:val="00E12D78"/>
    <w:rsid w:val="00E31A1A"/>
    <w:rsid w:val="00E430F0"/>
    <w:rsid w:val="00FD583A"/>
    <w:rsid w:val="00FD7D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6B724"/>
  <w15:chartTrackingRefBased/>
  <w15:docId w15:val="{B1005428-A4B7-4B46-ABF9-A5A1CF188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01539"/>
    <w:pPr>
      <w:widowControl/>
      <w:spacing w:before="100" w:beforeAutospacing="1" w:after="100" w:afterAutospacing="1" w:line="240" w:lineRule="auto"/>
      <w:jc w:val="left"/>
    </w:pPr>
    <w:rPr>
      <w:rFonts w:ascii="宋体" w:eastAsia="宋体" w:hAnsi="宋体" w:cs="宋体"/>
      <w:kern w:val="0"/>
      <w:sz w:val="24"/>
      <w:szCs w:val="24"/>
      <w14:ligatures w14:val="none"/>
    </w:rPr>
  </w:style>
  <w:style w:type="paragraph" w:styleId="a4">
    <w:name w:val="Bibliography"/>
    <w:basedOn w:val="a"/>
    <w:next w:val="a"/>
    <w:uiPriority w:val="37"/>
    <w:unhideWhenUsed/>
    <w:rsid w:val="00BB5AD6"/>
    <w:pPr>
      <w:tabs>
        <w:tab w:val="left" w:pos="504"/>
      </w:tabs>
      <w:spacing w:after="0" w:line="240" w:lineRule="auto"/>
      <w:ind w:left="504" w:hanging="504"/>
    </w:pPr>
  </w:style>
  <w:style w:type="character" w:styleId="a5">
    <w:name w:val="Hyperlink"/>
    <w:basedOn w:val="a0"/>
    <w:uiPriority w:val="99"/>
    <w:unhideWhenUsed/>
    <w:rsid w:val="001527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3904391">
      <w:bodyDiv w:val="1"/>
      <w:marLeft w:val="0"/>
      <w:marRight w:val="0"/>
      <w:marTop w:val="0"/>
      <w:marBottom w:val="0"/>
      <w:divBdr>
        <w:top w:val="none" w:sz="0" w:space="0" w:color="auto"/>
        <w:left w:val="none" w:sz="0" w:space="0" w:color="auto"/>
        <w:bottom w:val="none" w:sz="0" w:space="0" w:color="auto"/>
        <w:right w:val="none" w:sz="0" w:space="0" w:color="auto"/>
      </w:divBdr>
    </w:div>
    <w:div w:id="998844290">
      <w:bodyDiv w:val="1"/>
      <w:marLeft w:val="0"/>
      <w:marRight w:val="0"/>
      <w:marTop w:val="0"/>
      <w:marBottom w:val="0"/>
      <w:divBdr>
        <w:top w:val="none" w:sz="0" w:space="0" w:color="auto"/>
        <w:left w:val="none" w:sz="0" w:space="0" w:color="auto"/>
        <w:bottom w:val="none" w:sz="0" w:space="0" w:color="auto"/>
        <w:right w:val="none" w:sz="0" w:space="0" w:color="auto"/>
      </w:divBdr>
    </w:div>
    <w:div w:id="1163931441">
      <w:bodyDiv w:val="1"/>
      <w:marLeft w:val="0"/>
      <w:marRight w:val="0"/>
      <w:marTop w:val="0"/>
      <w:marBottom w:val="0"/>
      <w:divBdr>
        <w:top w:val="none" w:sz="0" w:space="0" w:color="auto"/>
        <w:left w:val="none" w:sz="0" w:space="0" w:color="auto"/>
        <w:bottom w:val="none" w:sz="0" w:space="0" w:color="auto"/>
        <w:right w:val="none" w:sz="0" w:space="0" w:color="auto"/>
      </w:divBdr>
      <w:divsChild>
        <w:div w:id="1825702133">
          <w:marLeft w:val="0"/>
          <w:marRight w:val="0"/>
          <w:marTop w:val="0"/>
          <w:marBottom w:val="0"/>
          <w:divBdr>
            <w:top w:val="none" w:sz="0" w:space="0" w:color="auto"/>
            <w:left w:val="none" w:sz="0" w:space="0" w:color="auto"/>
            <w:bottom w:val="none" w:sz="0" w:space="0" w:color="auto"/>
            <w:right w:val="none" w:sz="0" w:space="0" w:color="auto"/>
          </w:divBdr>
          <w:divsChild>
            <w:div w:id="64382269">
              <w:marLeft w:val="0"/>
              <w:marRight w:val="0"/>
              <w:marTop w:val="0"/>
              <w:marBottom w:val="0"/>
              <w:divBdr>
                <w:top w:val="none" w:sz="0" w:space="0" w:color="auto"/>
                <w:left w:val="none" w:sz="0" w:space="0" w:color="auto"/>
                <w:bottom w:val="none" w:sz="0" w:space="0" w:color="auto"/>
                <w:right w:val="none" w:sz="0" w:space="0" w:color="auto"/>
              </w:divBdr>
              <w:divsChild>
                <w:div w:id="1968537412">
                  <w:marLeft w:val="0"/>
                  <w:marRight w:val="0"/>
                  <w:marTop w:val="0"/>
                  <w:marBottom w:val="0"/>
                  <w:divBdr>
                    <w:top w:val="none" w:sz="0" w:space="0" w:color="auto"/>
                    <w:left w:val="none" w:sz="0" w:space="0" w:color="auto"/>
                    <w:bottom w:val="none" w:sz="0" w:space="0" w:color="auto"/>
                    <w:right w:val="none" w:sz="0" w:space="0" w:color="auto"/>
                  </w:divBdr>
                  <w:divsChild>
                    <w:div w:id="62073265">
                      <w:marLeft w:val="0"/>
                      <w:marRight w:val="0"/>
                      <w:marTop w:val="0"/>
                      <w:marBottom w:val="0"/>
                      <w:divBdr>
                        <w:top w:val="none" w:sz="0" w:space="0" w:color="auto"/>
                        <w:left w:val="none" w:sz="0" w:space="0" w:color="auto"/>
                        <w:bottom w:val="none" w:sz="0" w:space="0" w:color="auto"/>
                        <w:right w:val="none" w:sz="0" w:space="0" w:color="auto"/>
                      </w:divBdr>
                      <w:divsChild>
                        <w:div w:id="1427651518">
                          <w:marLeft w:val="0"/>
                          <w:marRight w:val="0"/>
                          <w:marTop w:val="0"/>
                          <w:marBottom w:val="0"/>
                          <w:divBdr>
                            <w:top w:val="none" w:sz="0" w:space="0" w:color="auto"/>
                            <w:left w:val="none" w:sz="0" w:space="0" w:color="auto"/>
                            <w:bottom w:val="none" w:sz="0" w:space="0" w:color="auto"/>
                            <w:right w:val="none" w:sz="0" w:space="0" w:color="auto"/>
                          </w:divBdr>
                          <w:divsChild>
                            <w:div w:id="1584219947">
                              <w:marLeft w:val="0"/>
                              <w:marRight w:val="0"/>
                              <w:marTop w:val="0"/>
                              <w:marBottom w:val="0"/>
                              <w:divBdr>
                                <w:top w:val="none" w:sz="0" w:space="0" w:color="auto"/>
                                <w:left w:val="none" w:sz="0" w:space="0" w:color="auto"/>
                                <w:bottom w:val="none" w:sz="0" w:space="0" w:color="auto"/>
                                <w:right w:val="none" w:sz="0" w:space="0" w:color="auto"/>
                              </w:divBdr>
                              <w:divsChild>
                                <w:div w:id="155380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7575927">
      <w:bodyDiv w:val="1"/>
      <w:marLeft w:val="0"/>
      <w:marRight w:val="0"/>
      <w:marTop w:val="0"/>
      <w:marBottom w:val="0"/>
      <w:divBdr>
        <w:top w:val="none" w:sz="0" w:space="0" w:color="auto"/>
        <w:left w:val="none" w:sz="0" w:space="0" w:color="auto"/>
        <w:bottom w:val="none" w:sz="0" w:space="0" w:color="auto"/>
        <w:right w:val="none" w:sz="0" w:space="0" w:color="auto"/>
      </w:divBdr>
      <w:divsChild>
        <w:div w:id="1671521843">
          <w:marLeft w:val="0"/>
          <w:marRight w:val="0"/>
          <w:marTop w:val="0"/>
          <w:marBottom w:val="0"/>
          <w:divBdr>
            <w:top w:val="none" w:sz="0" w:space="0" w:color="auto"/>
            <w:left w:val="none" w:sz="0" w:space="0" w:color="auto"/>
            <w:bottom w:val="none" w:sz="0" w:space="0" w:color="auto"/>
            <w:right w:val="none" w:sz="0" w:space="0" w:color="auto"/>
          </w:divBdr>
          <w:divsChild>
            <w:div w:id="1653948610">
              <w:marLeft w:val="0"/>
              <w:marRight w:val="0"/>
              <w:marTop w:val="0"/>
              <w:marBottom w:val="0"/>
              <w:divBdr>
                <w:top w:val="none" w:sz="0" w:space="0" w:color="auto"/>
                <w:left w:val="none" w:sz="0" w:space="0" w:color="auto"/>
                <w:bottom w:val="none" w:sz="0" w:space="0" w:color="auto"/>
                <w:right w:val="none" w:sz="0" w:space="0" w:color="auto"/>
              </w:divBdr>
              <w:divsChild>
                <w:div w:id="1600524231">
                  <w:marLeft w:val="0"/>
                  <w:marRight w:val="0"/>
                  <w:marTop w:val="0"/>
                  <w:marBottom w:val="0"/>
                  <w:divBdr>
                    <w:top w:val="none" w:sz="0" w:space="0" w:color="auto"/>
                    <w:left w:val="none" w:sz="0" w:space="0" w:color="auto"/>
                    <w:bottom w:val="none" w:sz="0" w:space="0" w:color="auto"/>
                    <w:right w:val="none" w:sz="0" w:space="0" w:color="auto"/>
                  </w:divBdr>
                  <w:divsChild>
                    <w:div w:id="987900893">
                      <w:marLeft w:val="0"/>
                      <w:marRight w:val="0"/>
                      <w:marTop w:val="0"/>
                      <w:marBottom w:val="0"/>
                      <w:divBdr>
                        <w:top w:val="none" w:sz="0" w:space="0" w:color="auto"/>
                        <w:left w:val="none" w:sz="0" w:space="0" w:color="auto"/>
                        <w:bottom w:val="none" w:sz="0" w:space="0" w:color="auto"/>
                        <w:right w:val="none" w:sz="0" w:space="0" w:color="auto"/>
                      </w:divBdr>
                      <w:divsChild>
                        <w:div w:id="1253583443">
                          <w:marLeft w:val="0"/>
                          <w:marRight w:val="0"/>
                          <w:marTop w:val="0"/>
                          <w:marBottom w:val="0"/>
                          <w:divBdr>
                            <w:top w:val="none" w:sz="0" w:space="0" w:color="auto"/>
                            <w:left w:val="none" w:sz="0" w:space="0" w:color="auto"/>
                            <w:bottom w:val="none" w:sz="0" w:space="0" w:color="auto"/>
                            <w:right w:val="none" w:sz="0" w:space="0" w:color="auto"/>
                          </w:divBdr>
                          <w:divsChild>
                            <w:div w:id="761880808">
                              <w:marLeft w:val="0"/>
                              <w:marRight w:val="0"/>
                              <w:marTop w:val="0"/>
                              <w:marBottom w:val="0"/>
                              <w:divBdr>
                                <w:top w:val="none" w:sz="0" w:space="0" w:color="auto"/>
                                <w:left w:val="none" w:sz="0" w:space="0" w:color="auto"/>
                                <w:bottom w:val="none" w:sz="0" w:space="0" w:color="auto"/>
                                <w:right w:val="none" w:sz="0" w:space="0" w:color="auto"/>
                              </w:divBdr>
                              <w:divsChild>
                                <w:div w:id="128518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xiajiang@scu.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5</Pages>
  <Words>7924</Words>
  <Characters>45171</Characters>
  <Application>Microsoft Office Word</Application>
  <DocSecurity>0</DocSecurity>
  <Lines>376</Lines>
  <Paragraphs>105</Paragraphs>
  <ScaleCrop>false</ScaleCrop>
  <Company/>
  <LinksUpToDate>false</LinksUpToDate>
  <CharactersWithSpaces>52990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金雨 肖</dc:creator>
  <cp:keywords/>
  <dc:description/>
  <cp:lastModifiedBy>金雨 肖</cp:lastModifiedBy>
  <cp:revision>4</cp:revision>
  <dcterms:created xsi:type="dcterms:W3CDTF">2024-08-13T08:21:00Z</dcterms:created>
  <dcterms:modified xsi:type="dcterms:W3CDTF">2024-08-14T01:42:00Z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zotero-version="7.0.0-beta.65+b047f3d90"&gt;&lt;session id="kuVermZp"/&gt;&lt;style id="http://www.zotero.org/styles/china-national-standard-gb-t-7714-2015-numeric" hasBibliography="1" bibliographyStyleHasBeenSet="1"/&gt;&lt;prefs&gt;&lt;pref name="fieldTy</vt:lpwstr>
  </property>
  <property fmtid="{D5CDD505-2E9C-101B-9397-08002B2CF9AE}" pid="3" name="ZOTERO_PREF_2">
    <vt:lpwstr>pe" value="Field"/&gt;&lt;pref name="automaticJournalAbbreviations" value="true"/&gt;&lt;/prefs&gt;&lt;/data&gt;</vt:lpwstr>
  </property>
</Properties>
</file>